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ascii="Times New Roman" w:hAnsi="Times New Roman" w:eastAsia="仿宋" w:cs="Times New Roman"/>
          <w:sz w:val="44"/>
          <w:szCs w:val="44"/>
        </w:rPr>
      </w:pPr>
      <w:r>
        <w:rPr>
          <w:rFonts w:eastAsia="方正小标宋简体"/>
          <w:kern w:val="44"/>
          <w:sz w:val="44"/>
          <w:szCs w:val="44"/>
        </w:rPr>
        <w:t>达州</w:t>
      </w:r>
      <w:r>
        <w:rPr>
          <w:rFonts w:hint="eastAsia" w:eastAsia="方正小标宋简体"/>
          <w:kern w:val="44"/>
          <w:sz w:val="44"/>
          <w:szCs w:val="44"/>
        </w:rPr>
        <w:t>高新区</w:t>
      </w:r>
      <w:r>
        <w:rPr>
          <w:rFonts w:eastAsia="方正小标宋简体"/>
          <w:kern w:val="44"/>
          <w:sz w:val="44"/>
          <w:szCs w:val="44"/>
        </w:rPr>
        <w:t>生态环境局</w:t>
      </w:r>
    </w:p>
    <w:p>
      <w:pPr>
        <w:spacing w:line="640" w:lineRule="exact"/>
        <w:jc w:val="center"/>
        <w:rPr>
          <w:rFonts w:hint="eastAsia" w:eastAsia="方正小标宋简体"/>
          <w:kern w:val="44"/>
          <w:sz w:val="44"/>
          <w:szCs w:val="44"/>
        </w:rPr>
      </w:pPr>
      <w:r>
        <w:rPr>
          <w:rFonts w:hint="eastAsia" w:eastAsia="方正小标宋简体"/>
          <w:kern w:val="44"/>
          <w:sz w:val="44"/>
          <w:szCs w:val="44"/>
        </w:rPr>
        <w:t>关于</w:t>
      </w:r>
      <w:r>
        <w:rPr>
          <w:rFonts w:hint="eastAsia" w:eastAsia="方正小标宋简体"/>
          <w:kern w:val="44"/>
          <w:sz w:val="44"/>
          <w:szCs w:val="44"/>
          <w:lang w:eastAsia="zh-CN"/>
        </w:rPr>
        <w:t>《</w:t>
      </w:r>
      <w:r>
        <w:rPr>
          <w:rFonts w:hint="eastAsia" w:eastAsia="方正小标宋简体"/>
          <w:kern w:val="44"/>
          <w:sz w:val="44"/>
          <w:szCs w:val="44"/>
        </w:rPr>
        <w:t>达州高新区河市镇污水处理厂提升工程</w:t>
      </w:r>
    </w:p>
    <w:p>
      <w:pPr>
        <w:spacing w:line="640" w:lineRule="exact"/>
        <w:jc w:val="center"/>
        <w:rPr>
          <w:rFonts w:hint="eastAsia" w:eastAsia="方正小标宋简体"/>
          <w:kern w:val="44"/>
          <w:sz w:val="44"/>
          <w:szCs w:val="44"/>
        </w:rPr>
      </w:pPr>
      <w:r>
        <w:rPr>
          <w:rFonts w:hint="eastAsia" w:eastAsia="方正小标宋简体"/>
          <w:kern w:val="44"/>
          <w:sz w:val="44"/>
          <w:szCs w:val="44"/>
        </w:rPr>
        <w:t>环境影响报告表</w:t>
      </w:r>
      <w:r>
        <w:rPr>
          <w:rFonts w:hint="eastAsia" w:eastAsia="方正小标宋简体"/>
          <w:kern w:val="44"/>
          <w:sz w:val="44"/>
          <w:szCs w:val="44"/>
          <w:lang w:eastAsia="zh-CN"/>
        </w:rPr>
        <w:t>》</w:t>
      </w:r>
      <w:r>
        <w:rPr>
          <w:rFonts w:hint="eastAsia" w:eastAsia="方正小标宋简体"/>
          <w:kern w:val="44"/>
          <w:sz w:val="44"/>
          <w:szCs w:val="44"/>
        </w:rPr>
        <w:t>的审查批复意见</w:t>
      </w:r>
    </w:p>
    <w:p>
      <w:pPr>
        <w:spacing w:line="640" w:lineRule="exact"/>
        <w:jc w:val="center"/>
        <w:rPr>
          <w:rFonts w:hint="eastAsia" w:eastAsia="方正小标宋简体"/>
          <w:kern w:val="44"/>
          <w:sz w:val="44"/>
          <w:szCs w:val="44"/>
        </w:rPr>
      </w:pPr>
    </w:p>
    <w:p>
      <w:pPr>
        <w:pStyle w:val="3"/>
        <w:spacing w:after="0" w:line="578" w:lineRule="exact"/>
        <w:rPr>
          <w:rFonts w:hint="eastAsia" w:eastAsia="仿宋_GB2312" w:cs="Times New Roman"/>
          <w:bCs/>
          <w:sz w:val="32"/>
          <w:szCs w:val="32"/>
          <w:lang w:val="zh-CN" w:eastAsia="zh-CN"/>
        </w:rPr>
      </w:pPr>
      <w:r>
        <w:rPr>
          <w:rFonts w:hint="eastAsia" w:eastAsia="仿宋_GB2312" w:cs="Times New Roman"/>
          <w:bCs/>
          <w:sz w:val="32"/>
          <w:szCs w:val="32"/>
          <w:lang w:val="zh-CN" w:eastAsia="zh-CN"/>
        </w:rPr>
        <w:t>达州茂源城市建设有限公司：</w:t>
      </w:r>
    </w:p>
    <w:p>
      <w:pPr>
        <w:pStyle w:val="3"/>
        <w:spacing w:after="0" w:line="578" w:lineRule="exact"/>
        <w:ind w:firstLine="640" w:firstLineChars="200"/>
        <w:rPr>
          <w:rFonts w:ascii="Times New Roman" w:hAnsi="Times New Roman" w:eastAsia="仿宋"/>
          <w:bCs/>
          <w:color w:val="000000"/>
          <w:kern w:val="44"/>
          <w:sz w:val="32"/>
          <w:szCs w:val="20"/>
        </w:rPr>
      </w:pPr>
      <w:r>
        <w:rPr>
          <w:rFonts w:hint="default" w:eastAsia="仿宋_GB2312" w:cs="Times New Roman"/>
          <w:bCs/>
          <w:sz w:val="32"/>
          <w:szCs w:val="32"/>
          <w:lang w:val="zh-CN" w:eastAsia="zh-CN"/>
        </w:rPr>
        <w:t>你</w:t>
      </w:r>
      <w:r>
        <w:rPr>
          <w:rFonts w:hint="eastAsia" w:eastAsia="仿宋_GB2312" w:cs="Times New Roman"/>
          <w:bCs/>
          <w:sz w:val="32"/>
          <w:szCs w:val="32"/>
          <w:lang w:val="zh-CN" w:eastAsia="zh-CN"/>
        </w:rPr>
        <w:t>公司</w:t>
      </w:r>
      <w:r>
        <w:rPr>
          <w:rFonts w:hint="default" w:eastAsia="仿宋_GB2312" w:cs="Times New Roman"/>
          <w:bCs/>
          <w:sz w:val="32"/>
          <w:szCs w:val="32"/>
          <w:lang w:val="zh-CN" w:eastAsia="zh-CN"/>
        </w:rPr>
        <w:t>报送的关于《</w:t>
      </w:r>
      <w:r>
        <w:rPr>
          <w:rFonts w:hint="eastAsia" w:eastAsia="仿宋_GB2312" w:cs="Times New Roman"/>
          <w:bCs/>
          <w:sz w:val="32"/>
          <w:szCs w:val="32"/>
          <w:lang w:val="zh-CN" w:eastAsia="zh-CN"/>
        </w:rPr>
        <w:t>达州高新区河市镇污水处理厂提升工程环境影响报告表</w:t>
      </w:r>
      <w:r>
        <w:rPr>
          <w:rFonts w:hint="default" w:eastAsia="仿宋_GB2312" w:cs="Times New Roman"/>
          <w:bCs/>
          <w:sz w:val="32"/>
          <w:szCs w:val="32"/>
          <w:lang w:val="zh-CN" w:eastAsia="zh-CN"/>
        </w:rPr>
        <w:t>》（下称“报告</w:t>
      </w:r>
      <w:r>
        <w:rPr>
          <w:rFonts w:hint="eastAsia" w:eastAsia="仿宋_GB2312" w:cs="Times New Roman"/>
          <w:bCs/>
          <w:sz w:val="32"/>
          <w:szCs w:val="32"/>
          <w:lang w:val="zh-CN" w:eastAsia="zh-CN"/>
        </w:rPr>
        <w:t>表</w:t>
      </w:r>
      <w:r>
        <w:rPr>
          <w:rFonts w:hint="default" w:eastAsia="仿宋_GB2312" w:cs="Times New Roman"/>
          <w:bCs/>
          <w:sz w:val="32"/>
          <w:szCs w:val="32"/>
          <w:lang w:val="zh-CN" w:eastAsia="zh-CN"/>
        </w:rPr>
        <w:t>”）及专家技术评审意见</w:t>
      </w:r>
      <w:r>
        <w:rPr>
          <w:rFonts w:hint="eastAsia" w:eastAsia="仿宋_GB2312" w:cs="Times New Roman"/>
          <w:bCs/>
          <w:sz w:val="32"/>
          <w:szCs w:val="32"/>
          <w:lang w:val="en-US" w:eastAsia="zh-CN"/>
        </w:rPr>
        <w:t>已</w:t>
      </w:r>
      <w:r>
        <w:rPr>
          <w:rFonts w:hint="default" w:eastAsia="仿宋_GB2312" w:cs="Times New Roman"/>
          <w:bCs/>
          <w:sz w:val="32"/>
          <w:szCs w:val="32"/>
          <w:lang w:val="zh-CN" w:eastAsia="zh-CN"/>
        </w:rPr>
        <w:t>收悉。经审查，现批复如下：</w:t>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eastAsia="仿宋_GB2312" w:cs="Times New Roman"/>
          <w:bCs/>
          <w:sz w:val="32"/>
          <w:szCs w:val="32"/>
          <w:lang w:val="en-US" w:eastAsia="zh-CN"/>
        </w:rPr>
      </w:pPr>
      <w:r>
        <w:rPr>
          <w:rFonts w:ascii="Times New Roman" w:hAnsi="Times New Roman" w:eastAsia="仿宋"/>
          <w:b/>
          <w:color w:val="000000"/>
          <w:kern w:val="44"/>
          <w:sz w:val="32"/>
          <w:szCs w:val="20"/>
        </w:rPr>
        <w:t>一、</w:t>
      </w:r>
      <w:r>
        <w:rPr>
          <w:rFonts w:hint="default" w:eastAsia="仿宋_GB2312" w:cs="Times New Roman"/>
          <w:bCs/>
          <w:sz w:val="32"/>
          <w:szCs w:val="32"/>
          <w:lang w:val="zh-CN" w:eastAsia="zh-CN"/>
        </w:rPr>
        <w:t>原则同意技术审查会专家审查意见</w:t>
      </w:r>
      <w:r>
        <w:rPr>
          <w:rFonts w:hint="eastAsia" w:eastAsia="仿宋_GB2312" w:cs="Times New Roman"/>
          <w:bCs/>
          <w:sz w:val="32"/>
          <w:szCs w:val="32"/>
          <w:lang w:val="zh-CN" w:eastAsia="zh-CN"/>
        </w:rPr>
        <w:t>。</w:t>
      </w:r>
      <w:bookmarkStart w:id="0" w:name="_Hlk142052661"/>
      <w:r>
        <w:rPr>
          <w:rFonts w:hint="eastAsia" w:eastAsia="仿宋_GB2312" w:cs="Times New Roman"/>
          <w:bCs/>
          <w:sz w:val="32"/>
          <w:szCs w:val="32"/>
          <w:lang w:val="en-US" w:eastAsia="zh-CN"/>
        </w:rPr>
        <w:t>该项目</w:t>
      </w:r>
      <w:r>
        <w:rPr>
          <w:rFonts w:hint="eastAsia" w:ascii="Times New Roman" w:hAnsi="Times New Roman" w:eastAsia="仿宋"/>
          <w:bCs/>
          <w:color w:val="000000"/>
          <w:kern w:val="44"/>
          <w:sz w:val="32"/>
          <w:szCs w:val="20"/>
          <w:lang w:val="en-US" w:eastAsia="zh-CN"/>
        </w:rPr>
        <w:t>依托</w:t>
      </w:r>
      <w:r>
        <w:rPr>
          <w:rFonts w:hint="eastAsia" w:ascii="Times New Roman" w:hAnsi="Times New Roman" w:eastAsia="仿宋"/>
          <w:bCs/>
          <w:color w:val="000000"/>
          <w:kern w:val="44"/>
          <w:sz w:val="32"/>
          <w:szCs w:val="20"/>
        </w:rPr>
        <w:t>现有厂区内进行扩建</w:t>
      </w:r>
      <w:r>
        <w:rPr>
          <w:rFonts w:hint="eastAsia" w:ascii="Times New Roman" w:hAnsi="Times New Roman" w:eastAsia="仿宋"/>
          <w:bCs/>
          <w:color w:val="000000"/>
          <w:kern w:val="44"/>
          <w:sz w:val="32"/>
          <w:szCs w:val="20"/>
          <w:lang w:eastAsia="zh-CN"/>
        </w:rPr>
        <w:t>，</w:t>
      </w:r>
      <w:r>
        <w:rPr>
          <w:rFonts w:hint="eastAsia" w:ascii="Times New Roman" w:hAnsi="Times New Roman" w:eastAsia="仿宋"/>
          <w:bCs/>
          <w:color w:val="000000"/>
          <w:kern w:val="44"/>
          <w:sz w:val="32"/>
          <w:szCs w:val="20"/>
          <w:lang w:val="en-US" w:eastAsia="zh-CN"/>
        </w:rPr>
        <w:t>项目建成后污水处理厂总处理能力达到   7100m³ /d。总</w:t>
      </w:r>
      <w:r>
        <w:rPr>
          <w:rFonts w:hint="eastAsia" w:ascii="Times New Roman" w:hAnsi="Times New Roman" w:eastAsia="仿宋"/>
          <w:bCs/>
          <w:color w:val="000000"/>
          <w:kern w:val="44"/>
          <w:sz w:val="32"/>
          <w:szCs w:val="20"/>
        </w:rPr>
        <w:t>投资2000万元</w:t>
      </w:r>
      <w:r>
        <w:rPr>
          <w:rFonts w:hint="eastAsia" w:ascii="Times New Roman" w:hAnsi="Times New Roman" w:eastAsia="仿宋"/>
          <w:bCs/>
          <w:color w:val="000000"/>
          <w:kern w:val="44"/>
          <w:sz w:val="32"/>
          <w:szCs w:val="20"/>
          <w:lang w:eastAsia="zh-CN"/>
        </w:rPr>
        <w:t>，</w:t>
      </w:r>
      <w:r>
        <w:rPr>
          <w:rFonts w:hint="default" w:eastAsia="仿宋_GB2312" w:cs="Times New Roman"/>
          <w:bCs/>
          <w:sz w:val="32"/>
          <w:szCs w:val="32"/>
          <w:lang w:val="en-US" w:eastAsia="zh-CN"/>
        </w:rPr>
        <w:t>其中环保投资</w:t>
      </w:r>
      <w:r>
        <w:rPr>
          <w:rFonts w:hint="eastAsia" w:eastAsia="仿宋_GB2312" w:cs="Times New Roman"/>
          <w:bCs/>
          <w:sz w:val="32"/>
          <w:szCs w:val="32"/>
          <w:lang w:val="en-US" w:eastAsia="zh-CN"/>
        </w:rPr>
        <w:t>34.3万元，项目包括污水处理厂厂区和厂外工程，主要建设内容如下：</w:t>
      </w:r>
    </w:p>
    <w:bookmarkEnd w:id="0"/>
    <w:p>
      <w:pPr>
        <w:pStyle w:val="3"/>
        <w:spacing w:after="0" w:line="578" w:lineRule="exact"/>
        <w:ind w:firstLine="640" w:firstLineChars="200"/>
        <w:rPr>
          <w:rFonts w:hint="eastAsia" w:ascii="Times New Roman" w:hAnsi="Times New Roman" w:eastAsia="仿宋"/>
          <w:bCs/>
          <w:color w:val="000000"/>
          <w:kern w:val="44"/>
          <w:sz w:val="32"/>
          <w:szCs w:val="20"/>
          <w:lang w:eastAsia="zh-CN"/>
        </w:rPr>
      </w:pPr>
      <w:r>
        <w:rPr>
          <w:rFonts w:hint="eastAsia" w:eastAsia="仿宋_GB2312" w:cs="Times New Roman"/>
          <w:bCs/>
          <w:sz w:val="32"/>
          <w:szCs w:val="32"/>
          <w:lang w:val="en-US" w:eastAsia="zh-CN"/>
        </w:rPr>
        <w:t>污水处理厂厂区</w:t>
      </w:r>
      <w:r>
        <w:rPr>
          <w:rFonts w:hint="default" w:eastAsia="仿宋_GB2312" w:cs="Times New Roman"/>
          <w:bCs/>
          <w:sz w:val="32"/>
          <w:szCs w:val="32"/>
          <w:lang w:val="en-US" w:eastAsia="zh-CN"/>
        </w:rPr>
        <w:t>：</w:t>
      </w:r>
      <w:r>
        <w:rPr>
          <w:rFonts w:hint="eastAsia" w:eastAsia="仿宋_GB2312" w:cs="Times New Roman"/>
          <w:bCs/>
          <w:sz w:val="32"/>
          <w:szCs w:val="32"/>
          <w:lang w:val="en-US" w:eastAsia="zh-CN"/>
        </w:rPr>
        <w:t>在厂区内空地部分增加</w:t>
      </w:r>
      <w:r>
        <w:rPr>
          <w:rFonts w:hint="eastAsia" w:ascii="Times New Roman" w:hAnsi="Times New Roman" w:eastAsia="仿宋"/>
          <w:bCs/>
          <w:color w:val="000000"/>
          <w:kern w:val="44"/>
          <w:sz w:val="32"/>
          <w:szCs w:val="20"/>
        </w:rPr>
        <w:t>玄武岩一体化污水处理设备（设计处理能力2100m</w:t>
      </w:r>
      <w:r>
        <w:rPr>
          <w:rFonts w:hint="eastAsia" w:ascii="Times New Roman" w:hAnsi="Times New Roman" w:eastAsia="仿宋"/>
          <w:bCs/>
          <w:color w:val="000000"/>
          <w:kern w:val="44"/>
          <w:sz w:val="32"/>
          <w:szCs w:val="20"/>
          <w:vertAlign w:val="superscript"/>
        </w:rPr>
        <w:t>3</w:t>
      </w:r>
      <w:r>
        <w:rPr>
          <w:rFonts w:hint="eastAsia" w:ascii="Times New Roman" w:hAnsi="Times New Roman" w:eastAsia="仿宋"/>
          <w:bCs/>
          <w:color w:val="000000"/>
          <w:kern w:val="44"/>
          <w:sz w:val="32"/>
          <w:szCs w:val="20"/>
        </w:rPr>
        <w:t>/d，工艺采用“AAO+斜管沉淀池+反硝化池+BAF曝气生物滤池+紫外线消毒”），新增调节池、污泥脱水间及相关配套设施</w:t>
      </w:r>
      <w:r>
        <w:rPr>
          <w:rFonts w:hint="eastAsia" w:ascii="Times New Roman" w:hAnsi="Times New Roman" w:eastAsia="仿宋"/>
          <w:bCs/>
          <w:color w:val="000000"/>
          <w:kern w:val="44"/>
          <w:sz w:val="32"/>
          <w:szCs w:val="20"/>
          <w:lang w:eastAsia="zh-CN"/>
        </w:rPr>
        <w:t>。</w:t>
      </w:r>
      <w:r>
        <w:rPr>
          <w:rFonts w:hint="eastAsia" w:ascii="Times New Roman" w:hAnsi="Times New Roman" w:eastAsia="仿宋"/>
          <w:bCs/>
          <w:color w:val="000000"/>
          <w:kern w:val="44"/>
          <w:sz w:val="32"/>
          <w:szCs w:val="20"/>
          <w:lang w:val="en-US" w:eastAsia="zh-CN"/>
        </w:rPr>
        <w:t>出水水质标准执行《城镇污水处理厂污染物排放标准》（GB18918-2002）中的一级A类排放标准，排入李家河。</w:t>
      </w:r>
    </w:p>
    <w:p>
      <w:pPr>
        <w:pStyle w:val="3"/>
        <w:spacing w:after="0" w:line="578" w:lineRule="exact"/>
        <w:ind w:firstLine="640" w:firstLineChars="200"/>
        <w:rPr>
          <w:rFonts w:ascii="Times New Roman" w:hAnsi="Times New Roman" w:eastAsia="仿宋"/>
          <w:color w:val="000000"/>
          <w:kern w:val="44"/>
          <w:sz w:val="32"/>
          <w:szCs w:val="20"/>
        </w:rPr>
      </w:pPr>
      <w:r>
        <w:rPr>
          <w:rFonts w:hint="default" w:eastAsia="仿宋_GB2312" w:cs="Times New Roman"/>
          <w:bCs/>
          <w:sz w:val="32"/>
          <w:szCs w:val="32"/>
          <w:lang w:val="en-US" w:eastAsia="zh-CN"/>
        </w:rPr>
        <w:t>厂外工程：</w:t>
      </w:r>
      <w:r>
        <w:rPr>
          <w:rFonts w:hint="eastAsia" w:ascii="Times New Roman" w:hAnsi="Times New Roman" w:eastAsia="仿宋"/>
          <w:bCs/>
          <w:color w:val="000000"/>
          <w:kern w:val="44"/>
          <w:sz w:val="32"/>
          <w:szCs w:val="20"/>
        </w:rPr>
        <w:t>新建一座一体式泵站，</w:t>
      </w:r>
      <w:r>
        <w:rPr>
          <w:rFonts w:hint="eastAsia" w:ascii="Times New Roman" w:hAnsi="Times New Roman" w:eastAsia="仿宋"/>
          <w:bCs/>
          <w:color w:val="000000"/>
          <w:kern w:val="44"/>
          <w:sz w:val="32"/>
          <w:szCs w:val="20"/>
          <w:lang w:val="en-US" w:eastAsia="zh-CN"/>
        </w:rPr>
        <w:t>设计规模为 370m³/h，扬程20m，筒体直径3m，筒体深度10m。由厂家成套提供，包括提升泵、筒体、粉碎格栅、电气系统、控制系统等。并实施</w:t>
      </w:r>
      <w:r>
        <w:rPr>
          <w:rFonts w:hint="eastAsia" w:ascii="Times New Roman" w:hAnsi="Times New Roman" w:eastAsia="仿宋"/>
          <w:bCs/>
          <w:color w:val="000000"/>
          <w:kern w:val="44"/>
          <w:sz w:val="32"/>
          <w:szCs w:val="20"/>
        </w:rPr>
        <w:t>河龙水库导水管道工程和后街现状污水管道恢复工程</w:t>
      </w:r>
      <w:r>
        <w:rPr>
          <w:rFonts w:hint="eastAsia" w:ascii="Times New Roman" w:hAnsi="Times New Roman" w:eastAsia="仿宋"/>
          <w:bCs/>
          <w:color w:val="000000"/>
          <w:kern w:val="44"/>
          <w:sz w:val="32"/>
          <w:szCs w:val="20"/>
          <w:lang w:eastAsia="zh-CN"/>
        </w:rPr>
        <w:t>（</w:t>
      </w:r>
      <w:r>
        <w:rPr>
          <w:rFonts w:hint="eastAsia" w:ascii="Times New Roman" w:hAnsi="Times New Roman" w:eastAsia="仿宋"/>
          <w:bCs/>
          <w:color w:val="000000"/>
          <w:kern w:val="44"/>
          <w:sz w:val="32"/>
          <w:szCs w:val="20"/>
          <w:lang w:val="en-US" w:eastAsia="zh-CN"/>
        </w:rPr>
        <w:t>其中导水管道总长 365m，PE管管径DN400</w:t>
      </w:r>
      <w:r>
        <w:rPr>
          <w:rFonts w:hint="eastAsia" w:ascii="Times New Roman" w:hAnsi="Times New Roman" w:eastAsia="仿宋"/>
          <w:bCs/>
          <w:color w:val="000000"/>
          <w:kern w:val="44"/>
          <w:sz w:val="32"/>
          <w:szCs w:val="20"/>
          <w:lang w:eastAsia="zh-CN"/>
        </w:rPr>
        <w:t>）</w:t>
      </w:r>
      <w:r>
        <w:rPr>
          <w:rFonts w:hint="eastAsia" w:ascii="Times New Roman" w:hAnsi="Times New Roman" w:eastAsia="仿宋"/>
          <w:bCs/>
          <w:color w:val="000000"/>
          <w:kern w:val="44"/>
          <w:sz w:val="32"/>
          <w:szCs w:val="20"/>
          <w:lang w:val="en-US" w:eastAsia="zh-CN"/>
        </w:rPr>
        <w:t>。</w:t>
      </w:r>
    </w:p>
    <w:p>
      <w:pPr>
        <w:pStyle w:val="3"/>
        <w:spacing w:after="0" w:line="578" w:lineRule="exact"/>
        <w:ind w:firstLine="640" w:firstLineChars="200"/>
        <w:rPr>
          <w:rFonts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本</w:t>
      </w:r>
      <w:r>
        <w:rPr>
          <w:rFonts w:hint="eastAsia" w:ascii="Times New Roman" w:hAnsi="Times New Roman" w:eastAsia="仿宋"/>
          <w:bCs/>
          <w:color w:val="000000"/>
          <w:kern w:val="44"/>
          <w:sz w:val="32"/>
          <w:szCs w:val="20"/>
        </w:rPr>
        <w:t>项目属</w:t>
      </w:r>
      <w:r>
        <w:rPr>
          <w:rFonts w:hint="eastAsia" w:ascii="Times New Roman" w:hAnsi="Times New Roman" w:eastAsia="仿宋"/>
          <w:bCs/>
          <w:color w:val="000000"/>
          <w:kern w:val="44"/>
          <w:sz w:val="32"/>
          <w:szCs w:val="20"/>
          <w:lang w:val="en-US" w:eastAsia="zh-CN"/>
        </w:rPr>
        <w:t>于</w:t>
      </w:r>
      <w:r>
        <w:rPr>
          <w:rFonts w:hint="eastAsia" w:ascii="Times New Roman" w:hAnsi="Times New Roman" w:eastAsia="仿宋"/>
          <w:bCs/>
          <w:color w:val="000000"/>
          <w:kern w:val="44"/>
          <w:sz w:val="32"/>
          <w:szCs w:val="20"/>
        </w:rPr>
        <w:t>《产业结构调整指导目录（2019年本）》</w:t>
      </w:r>
      <w:r>
        <w:rPr>
          <w:rFonts w:hint="eastAsia" w:ascii="Times New Roman" w:hAnsi="Times New Roman" w:eastAsia="仿宋"/>
          <w:bCs/>
          <w:color w:val="000000"/>
          <w:kern w:val="44"/>
          <w:sz w:val="32"/>
          <w:szCs w:val="20"/>
          <w:lang w:val="en-US" w:eastAsia="zh-CN"/>
        </w:rPr>
        <w:t>（2021年修订本）</w:t>
      </w:r>
      <w:r>
        <w:rPr>
          <w:rFonts w:hint="default" w:eastAsia="仿宋_GB2312" w:cs="Times New Roman"/>
          <w:bCs/>
          <w:sz w:val="32"/>
          <w:szCs w:val="32"/>
          <w:lang w:val="en-US" w:eastAsia="zh-CN"/>
        </w:rPr>
        <w:t>中的</w:t>
      </w:r>
      <w:r>
        <w:rPr>
          <w:rFonts w:hint="eastAsia" w:eastAsia="仿宋_GB2312" w:cs="Times New Roman"/>
          <w:bCs/>
          <w:sz w:val="32"/>
          <w:szCs w:val="32"/>
          <w:lang w:val="en-US" w:eastAsia="zh-CN"/>
        </w:rPr>
        <w:t>“</w:t>
      </w:r>
      <w:r>
        <w:rPr>
          <w:rFonts w:hint="default" w:eastAsia="仿宋_GB2312" w:cs="Times New Roman"/>
          <w:bCs/>
          <w:sz w:val="32"/>
          <w:szCs w:val="32"/>
          <w:lang w:val="en-US" w:eastAsia="zh-CN"/>
        </w:rPr>
        <w:t>鼓励类</w:t>
      </w:r>
      <w:r>
        <w:rPr>
          <w:rFonts w:hint="eastAsia" w:eastAsia="仿宋_GB2312" w:cs="Times New Roman"/>
          <w:bCs/>
          <w:sz w:val="32"/>
          <w:szCs w:val="32"/>
          <w:lang w:val="en-US" w:eastAsia="zh-CN"/>
        </w:rPr>
        <w:t>”</w:t>
      </w:r>
      <w:r>
        <w:rPr>
          <w:rFonts w:hint="eastAsia" w:ascii="Times New Roman" w:hAnsi="Times New Roman" w:eastAsia="仿宋"/>
          <w:bCs/>
          <w:color w:val="000000"/>
          <w:kern w:val="44"/>
          <w:sz w:val="32"/>
          <w:szCs w:val="20"/>
        </w:rPr>
        <w:t>，</w:t>
      </w:r>
      <w:r>
        <w:rPr>
          <w:rFonts w:hint="default" w:eastAsia="仿宋_GB2312" w:cs="Times New Roman"/>
          <w:bCs/>
          <w:sz w:val="32"/>
          <w:szCs w:val="32"/>
          <w:lang w:val="en-US" w:eastAsia="zh-CN"/>
        </w:rPr>
        <w:t>主要工艺、设备均符合国家有关法律、法规和政策规定。</w:t>
      </w:r>
      <w:r>
        <w:rPr>
          <w:rFonts w:hint="eastAsia" w:ascii="Times New Roman" w:hAnsi="Times New Roman" w:eastAsia="仿宋"/>
          <w:bCs/>
          <w:color w:val="000000"/>
          <w:kern w:val="44"/>
          <w:sz w:val="32"/>
          <w:szCs w:val="20"/>
        </w:rPr>
        <w:t>达州市发展和改革委员会</w:t>
      </w:r>
      <w:r>
        <w:rPr>
          <w:rFonts w:hint="eastAsia" w:ascii="Times New Roman" w:hAnsi="Times New Roman" w:eastAsia="仿宋"/>
          <w:bCs/>
          <w:color w:val="000000"/>
          <w:kern w:val="44"/>
          <w:sz w:val="32"/>
          <w:szCs w:val="20"/>
          <w:lang w:val="en-US" w:eastAsia="zh-CN"/>
        </w:rPr>
        <w:t>出具了</w:t>
      </w:r>
      <w:r>
        <w:rPr>
          <w:rFonts w:ascii="Times New Roman" w:hAnsi="Times New Roman" w:eastAsia="仿宋"/>
          <w:bCs/>
          <w:color w:val="000000"/>
          <w:kern w:val="44"/>
          <w:sz w:val="32"/>
          <w:szCs w:val="20"/>
        </w:rPr>
        <w:t>《</w:t>
      </w:r>
      <w:r>
        <w:rPr>
          <w:rFonts w:hint="eastAsia" w:ascii="Times New Roman" w:hAnsi="Times New Roman" w:eastAsia="仿宋"/>
          <w:bCs/>
          <w:color w:val="000000"/>
          <w:kern w:val="44"/>
          <w:sz w:val="32"/>
          <w:szCs w:val="20"/>
        </w:rPr>
        <w:t>关于达州高新区河市镇污水处理厂提升工程立项的批复</w:t>
      </w:r>
      <w:r>
        <w:rPr>
          <w:rFonts w:ascii="Times New Roman" w:hAnsi="Times New Roman" w:eastAsia="仿宋"/>
          <w:bCs/>
          <w:color w:val="000000"/>
          <w:kern w:val="44"/>
          <w:sz w:val="32"/>
          <w:szCs w:val="20"/>
        </w:rPr>
        <w:t>》（</w:t>
      </w:r>
      <w:r>
        <w:rPr>
          <w:rFonts w:hint="eastAsia" w:ascii="Times New Roman" w:hAnsi="Times New Roman" w:eastAsia="仿宋"/>
          <w:bCs/>
          <w:color w:val="000000"/>
          <w:kern w:val="44"/>
          <w:sz w:val="32"/>
          <w:szCs w:val="20"/>
        </w:rPr>
        <w:t>达市发改经审[2023]37号</w:t>
      </w:r>
      <w:r>
        <w:rPr>
          <w:rFonts w:ascii="Times New Roman" w:hAnsi="Times New Roman" w:eastAsia="仿宋"/>
          <w:bCs/>
          <w:color w:val="000000"/>
          <w:kern w:val="44"/>
          <w:sz w:val="32"/>
          <w:szCs w:val="20"/>
        </w:rPr>
        <w:t>）</w:t>
      </w:r>
      <w:r>
        <w:rPr>
          <w:rFonts w:hint="eastAsia" w:ascii="Times New Roman" w:hAnsi="Times New Roman" w:eastAsia="仿宋"/>
          <w:bCs/>
          <w:color w:val="000000"/>
          <w:kern w:val="44"/>
          <w:sz w:val="32"/>
          <w:szCs w:val="20"/>
        </w:rPr>
        <w:t>，</w:t>
      </w:r>
      <w:r>
        <w:rPr>
          <w:rFonts w:hint="eastAsia" w:ascii="Times New Roman" w:hAnsi="Times New Roman" w:eastAsia="仿宋"/>
          <w:bCs/>
          <w:color w:val="000000"/>
          <w:kern w:val="44"/>
          <w:sz w:val="32"/>
          <w:szCs w:val="20"/>
          <w:lang w:val="en-US" w:eastAsia="zh-CN"/>
        </w:rPr>
        <w:t>同意项目实施</w:t>
      </w:r>
      <w:r>
        <w:rPr>
          <w:rFonts w:hint="eastAsia" w:ascii="Times New Roman" w:hAnsi="Times New Roman" w:eastAsia="仿宋"/>
          <w:bCs/>
          <w:color w:val="000000"/>
          <w:kern w:val="44"/>
          <w:sz w:val="32"/>
          <w:szCs w:val="20"/>
        </w:rPr>
        <w:t>。达州市自然资源和规划局高新区分局出具</w:t>
      </w:r>
      <w:r>
        <w:rPr>
          <w:rFonts w:hint="eastAsia" w:ascii="Times New Roman" w:hAnsi="Times New Roman" w:eastAsia="仿宋"/>
          <w:bCs/>
          <w:color w:val="000000"/>
          <w:kern w:val="44"/>
          <w:sz w:val="32"/>
          <w:szCs w:val="20"/>
          <w:lang w:eastAsia="zh-CN"/>
        </w:rPr>
        <w:t>了</w:t>
      </w:r>
      <w:r>
        <w:rPr>
          <w:rFonts w:hint="eastAsia" w:ascii="Times New Roman" w:hAnsi="Times New Roman" w:eastAsia="仿宋"/>
          <w:bCs/>
          <w:color w:val="000000"/>
          <w:kern w:val="44"/>
          <w:sz w:val="32"/>
          <w:szCs w:val="20"/>
        </w:rPr>
        <w:t>《关于达州高新区河市镇污水处理厂提升工程用地情况说明》同意项目在现有用地范围内实施建设。</w:t>
      </w:r>
    </w:p>
    <w:p>
      <w:pPr>
        <w:pStyle w:val="3"/>
        <w:spacing w:after="0" w:line="578" w:lineRule="exact"/>
        <w:ind w:firstLine="640" w:firstLineChars="200"/>
        <w:rPr>
          <w:rFonts w:ascii="Times New Roman" w:hAnsi="Times New Roman" w:eastAsia="仿宋"/>
          <w:bCs/>
          <w:color w:val="000000"/>
          <w:kern w:val="44"/>
          <w:sz w:val="32"/>
          <w:szCs w:val="20"/>
        </w:rPr>
      </w:pPr>
      <w:r>
        <w:rPr>
          <w:rFonts w:hint="default" w:ascii="Times New Roman" w:hAnsi="Times New Roman" w:eastAsia="仿宋"/>
          <w:bCs/>
          <w:color w:val="000000"/>
          <w:kern w:val="44"/>
          <w:sz w:val="32"/>
          <w:szCs w:val="20"/>
          <w:lang w:val="en-US" w:eastAsia="zh-CN"/>
        </w:rPr>
        <w:t>项目在严格按照报告书中所列建设项目的性质、规模、工艺、地点和拟采取的环境保护措施和环境风险防范措施进行建设和</w:t>
      </w:r>
      <w:r>
        <w:rPr>
          <w:rFonts w:hint="eastAsia" w:ascii="Times New Roman" w:hAnsi="Times New Roman" w:eastAsia="仿宋"/>
          <w:bCs/>
          <w:color w:val="000000"/>
          <w:kern w:val="44"/>
          <w:sz w:val="32"/>
          <w:szCs w:val="20"/>
          <w:lang w:val="en-US" w:eastAsia="zh-CN"/>
        </w:rPr>
        <w:t>运行时</w:t>
      </w:r>
      <w:r>
        <w:rPr>
          <w:rFonts w:hint="default" w:ascii="Times New Roman" w:hAnsi="Times New Roman" w:eastAsia="仿宋"/>
          <w:bCs/>
          <w:color w:val="000000"/>
          <w:kern w:val="44"/>
          <w:sz w:val="32"/>
          <w:szCs w:val="20"/>
          <w:lang w:val="en-US" w:eastAsia="zh-CN"/>
        </w:rPr>
        <w:t>，严格执行环境保护“三同时”制度的前提下，对环境的不利影响能够得到缓解和控制。因此，我局同意报告书结论。你公司应全面落实报告书提出的各项环境保护对策措施、环境风险防范措施及本批复要求。</w:t>
      </w:r>
      <w:bookmarkStart w:id="1" w:name="_GoBack"/>
      <w:bookmarkEnd w:id="1"/>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default" w:eastAsia="仿宋_GB2312" w:cs="Times New Roman"/>
          <w:bCs/>
          <w:sz w:val="32"/>
          <w:szCs w:val="32"/>
          <w:lang w:val="en-US" w:eastAsia="zh-CN"/>
        </w:rPr>
      </w:pPr>
      <w:r>
        <w:rPr>
          <w:rFonts w:hint="default" w:eastAsia="仿宋_GB2312" w:cs="Times New Roman"/>
          <w:bCs/>
          <w:sz w:val="32"/>
          <w:szCs w:val="32"/>
          <w:lang w:val="en-US" w:eastAsia="zh-CN"/>
        </w:rPr>
        <w:t>二、项目建设及运营中应重点做好以下工作</w:t>
      </w:r>
      <w:r>
        <w:rPr>
          <w:rFonts w:hint="eastAsia" w:eastAsia="仿宋_GB2312" w:cs="Times New Roman"/>
          <w:bCs/>
          <w:sz w:val="32"/>
          <w:szCs w:val="32"/>
          <w:lang w:val="en-US" w:eastAsia="zh-CN"/>
        </w:rPr>
        <w:t>：</w:t>
      </w:r>
    </w:p>
    <w:p>
      <w:pPr>
        <w:pStyle w:val="3"/>
        <w:spacing w:after="0" w:line="578" w:lineRule="exact"/>
        <w:ind w:firstLine="640" w:firstLineChars="200"/>
        <w:rPr>
          <w:rFonts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rPr>
        <w:t>1</w:t>
      </w:r>
      <w:r>
        <w:rPr>
          <w:rFonts w:hint="eastAsia" w:ascii="Times New Roman" w:hAnsi="Times New Roman" w:eastAsia="仿宋"/>
          <w:bCs/>
          <w:color w:val="000000"/>
          <w:kern w:val="44"/>
          <w:sz w:val="32"/>
          <w:szCs w:val="20"/>
          <w:lang w:val="en-US" w:eastAsia="zh-CN"/>
        </w:rPr>
        <w:t>.</w:t>
      </w:r>
      <w:r>
        <w:rPr>
          <w:rFonts w:hint="eastAsia" w:ascii="Times New Roman" w:hAnsi="Times New Roman" w:eastAsia="仿宋"/>
          <w:bCs/>
          <w:color w:val="000000"/>
          <w:kern w:val="44"/>
          <w:sz w:val="32"/>
          <w:szCs w:val="20"/>
        </w:rPr>
        <w:t>严格将各项环保措施纳入到设计、施工承包合同中，切实加强工程建设管理，认真落实项目所涉及的各项生态环境保护措施。</w:t>
      </w:r>
    </w:p>
    <w:p>
      <w:pPr>
        <w:pStyle w:val="3"/>
        <w:spacing w:after="0" w:line="578" w:lineRule="exact"/>
        <w:ind w:firstLine="640" w:firstLineChars="200"/>
        <w:rPr>
          <w:rFonts w:hint="eastAsia"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rPr>
        <w:t>2</w:t>
      </w:r>
      <w:r>
        <w:rPr>
          <w:rFonts w:hint="eastAsia" w:ascii="Times New Roman" w:hAnsi="Times New Roman" w:eastAsia="仿宋"/>
          <w:bCs/>
          <w:color w:val="000000"/>
          <w:kern w:val="44"/>
          <w:sz w:val="32"/>
          <w:szCs w:val="20"/>
          <w:lang w:val="en-US" w:eastAsia="zh-CN"/>
        </w:rPr>
        <w:t>.</w:t>
      </w:r>
      <w:r>
        <w:rPr>
          <w:rFonts w:hint="eastAsia" w:ascii="Times New Roman" w:hAnsi="Times New Roman" w:eastAsia="仿宋"/>
          <w:bCs/>
          <w:color w:val="000000"/>
          <w:kern w:val="44"/>
          <w:sz w:val="32"/>
          <w:szCs w:val="20"/>
        </w:rPr>
        <w:t>强化施工期环境管理。施工过程充分考虑生态环境管理要求，优化施工方案，合理安排施工时间，合理布设施工场地，</w:t>
      </w:r>
      <w:r>
        <w:rPr>
          <w:rFonts w:hint="default" w:ascii="Times New Roman" w:hAnsi="Times New Roman" w:eastAsia="仿宋"/>
          <w:bCs/>
          <w:color w:val="000000"/>
          <w:kern w:val="44"/>
          <w:sz w:val="32"/>
          <w:szCs w:val="20"/>
          <w:lang w:val="en-US" w:eastAsia="zh-CN"/>
        </w:rPr>
        <w:t>现场严格执行</w:t>
      </w:r>
      <w:r>
        <w:rPr>
          <w:rFonts w:hint="eastAsia" w:ascii="Times New Roman" w:hAnsi="Times New Roman" w:eastAsia="仿宋"/>
          <w:bCs/>
          <w:color w:val="000000"/>
          <w:kern w:val="44"/>
          <w:sz w:val="32"/>
          <w:szCs w:val="20"/>
          <w:lang w:val="en-US" w:eastAsia="zh-CN"/>
        </w:rPr>
        <w:t>“</w:t>
      </w:r>
      <w:r>
        <w:rPr>
          <w:rFonts w:hint="default" w:ascii="Times New Roman" w:hAnsi="Times New Roman" w:eastAsia="仿宋"/>
          <w:bCs/>
          <w:color w:val="000000"/>
          <w:kern w:val="44"/>
          <w:sz w:val="32"/>
          <w:szCs w:val="20"/>
          <w:lang w:val="en-US" w:eastAsia="zh-CN"/>
        </w:rPr>
        <w:t>六必须</w:t>
      </w:r>
      <w:r>
        <w:rPr>
          <w:rFonts w:hint="eastAsia" w:ascii="Times New Roman" w:hAnsi="Times New Roman" w:eastAsia="仿宋"/>
          <w:bCs/>
          <w:color w:val="000000"/>
          <w:kern w:val="44"/>
          <w:sz w:val="32"/>
          <w:szCs w:val="20"/>
          <w:lang w:val="en-US" w:eastAsia="zh-CN"/>
        </w:rPr>
        <w:t>”</w:t>
      </w:r>
      <w:r>
        <w:rPr>
          <w:rFonts w:hint="default" w:ascii="Times New Roman" w:hAnsi="Times New Roman" w:eastAsia="仿宋"/>
          <w:bCs/>
          <w:color w:val="000000"/>
          <w:kern w:val="44"/>
          <w:sz w:val="32"/>
          <w:szCs w:val="20"/>
          <w:lang w:val="en-US" w:eastAsia="zh-CN"/>
        </w:rPr>
        <w:t>、</w:t>
      </w:r>
      <w:r>
        <w:rPr>
          <w:rFonts w:hint="eastAsia" w:ascii="Times New Roman" w:hAnsi="Times New Roman" w:eastAsia="仿宋"/>
          <w:bCs/>
          <w:color w:val="000000"/>
          <w:kern w:val="44"/>
          <w:sz w:val="32"/>
          <w:szCs w:val="20"/>
          <w:lang w:val="en-US" w:eastAsia="zh-CN"/>
        </w:rPr>
        <w:t>“</w:t>
      </w:r>
      <w:r>
        <w:rPr>
          <w:rFonts w:hint="default" w:ascii="Times New Roman" w:hAnsi="Times New Roman" w:eastAsia="仿宋"/>
          <w:bCs/>
          <w:color w:val="000000"/>
          <w:kern w:val="44"/>
          <w:sz w:val="32"/>
          <w:szCs w:val="20"/>
          <w:lang w:val="en-US" w:eastAsia="zh-CN"/>
        </w:rPr>
        <w:t>六不准</w:t>
      </w:r>
      <w:r>
        <w:rPr>
          <w:rFonts w:hint="eastAsia" w:ascii="Times New Roman" w:hAnsi="Times New Roman" w:eastAsia="仿宋"/>
          <w:bCs/>
          <w:color w:val="000000"/>
          <w:kern w:val="44"/>
          <w:sz w:val="32"/>
          <w:szCs w:val="20"/>
          <w:lang w:val="en-US" w:eastAsia="zh-CN"/>
        </w:rPr>
        <w:t>”</w:t>
      </w:r>
      <w:r>
        <w:rPr>
          <w:rFonts w:hint="eastAsia" w:ascii="Times New Roman" w:hAnsi="Times New Roman" w:eastAsia="仿宋"/>
          <w:bCs/>
          <w:color w:val="000000"/>
          <w:kern w:val="44"/>
          <w:sz w:val="32"/>
          <w:szCs w:val="20"/>
        </w:rPr>
        <w:t>。</w:t>
      </w:r>
    </w:p>
    <w:p>
      <w:pPr>
        <w:pStyle w:val="3"/>
        <w:spacing w:line="578" w:lineRule="exact"/>
        <w:ind w:firstLine="640" w:firstLineChars="200"/>
        <w:rPr>
          <w:rFonts w:hint="eastAsia"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rPr>
        <w:t>3</w:t>
      </w:r>
      <w:r>
        <w:rPr>
          <w:rFonts w:hint="eastAsia" w:ascii="Times New Roman" w:hAnsi="Times New Roman" w:eastAsia="仿宋"/>
          <w:bCs/>
          <w:color w:val="000000"/>
          <w:kern w:val="44"/>
          <w:sz w:val="32"/>
          <w:szCs w:val="20"/>
          <w:lang w:val="en-US" w:eastAsia="zh-CN"/>
        </w:rPr>
        <w:t>.严格</w:t>
      </w:r>
      <w:r>
        <w:rPr>
          <w:rFonts w:hint="eastAsia" w:ascii="Times New Roman" w:hAnsi="Times New Roman" w:eastAsia="仿宋"/>
          <w:bCs/>
          <w:color w:val="000000"/>
          <w:kern w:val="44"/>
          <w:sz w:val="32"/>
          <w:szCs w:val="20"/>
        </w:rPr>
        <w:t>落实</w:t>
      </w:r>
      <w:r>
        <w:rPr>
          <w:rFonts w:hint="eastAsia" w:ascii="Times New Roman" w:hAnsi="Times New Roman" w:eastAsia="仿宋"/>
          <w:bCs/>
          <w:color w:val="000000"/>
          <w:kern w:val="44"/>
          <w:sz w:val="32"/>
          <w:szCs w:val="20"/>
          <w:lang w:val="en-US" w:eastAsia="zh-CN"/>
        </w:rPr>
        <w:t>大气环境污染</w:t>
      </w:r>
      <w:r>
        <w:rPr>
          <w:rFonts w:hint="eastAsia" w:ascii="Times New Roman" w:hAnsi="Times New Roman" w:eastAsia="仿宋"/>
          <w:bCs/>
          <w:color w:val="000000"/>
          <w:kern w:val="44"/>
          <w:sz w:val="32"/>
          <w:szCs w:val="20"/>
        </w:rPr>
        <w:t>治理措施。对污水处理设施采取封闭措施，污泥脱水车间设置机械排风设施，栅渣、污泥及时外运，在厂区内喷洒除臭剂，减少恶臭的产生。柴油发电机产生的废气经自带的消烟除尘装置处理后，经专用烟道高空排放。</w:t>
      </w:r>
    </w:p>
    <w:p>
      <w:pPr>
        <w:pStyle w:val="3"/>
        <w:spacing w:after="0" w:line="578" w:lineRule="exact"/>
        <w:ind w:firstLine="640" w:firstLineChars="200"/>
        <w:rPr>
          <w:rFonts w:hint="eastAsia"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4.严格落实水污染防治措施。</w:t>
      </w:r>
      <w:r>
        <w:rPr>
          <w:rFonts w:hint="eastAsia" w:ascii="Times New Roman" w:hAnsi="Times New Roman" w:eastAsia="仿宋"/>
          <w:bCs/>
          <w:color w:val="000000"/>
          <w:kern w:val="44"/>
          <w:sz w:val="32"/>
          <w:szCs w:val="20"/>
        </w:rPr>
        <w:t>污水处理厂服务范围内收集的废水，会同厂内设备生产废水、办公生活污水等，经处理达《城镇污水处理厂污染物排放标准》（GB18918-2002）一级A标准后通过管道排放至李家河。</w:t>
      </w:r>
    </w:p>
    <w:p>
      <w:pPr>
        <w:pStyle w:val="3"/>
        <w:numPr>
          <w:ilvl w:val="0"/>
          <w:numId w:val="0"/>
        </w:numPr>
        <w:spacing w:line="578" w:lineRule="exact"/>
        <w:ind w:firstLine="640" w:firstLineChars="200"/>
        <w:rPr>
          <w:rFonts w:hint="eastAsia"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5.严格落实噪声控制措施。</w:t>
      </w:r>
      <w:r>
        <w:rPr>
          <w:rFonts w:hint="eastAsia" w:ascii="Times New Roman" w:hAnsi="Times New Roman" w:eastAsia="仿宋"/>
          <w:bCs/>
          <w:color w:val="000000"/>
          <w:kern w:val="44"/>
          <w:sz w:val="32"/>
          <w:szCs w:val="20"/>
        </w:rPr>
        <w:t>通过建筑隔声、基础减震、加强绿化等措施，确保厂界噪声</w:t>
      </w:r>
      <w:r>
        <w:rPr>
          <w:rFonts w:hint="eastAsia" w:ascii="Times New Roman" w:hAnsi="Times New Roman" w:eastAsia="仿宋"/>
          <w:bCs/>
          <w:color w:val="000000"/>
          <w:kern w:val="44"/>
          <w:sz w:val="32"/>
          <w:szCs w:val="20"/>
          <w:lang w:val="en-US" w:eastAsia="zh-CN"/>
        </w:rPr>
        <w:t>达到《工业企业厂界环境噪声排放标准》（GB12348-2008）中2类标准（昼间60dB（A），夜间50dB（A）），实现达标排放。</w:t>
      </w:r>
    </w:p>
    <w:p>
      <w:pPr>
        <w:pStyle w:val="3"/>
        <w:numPr>
          <w:ilvl w:val="0"/>
          <w:numId w:val="0"/>
        </w:numPr>
        <w:spacing w:line="578" w:lineRule="exact"/>
        <w:ind w:firstLine="640" w:firstLineChars="200"/>
        <w:rPr>
          <w:rFonts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6.严格落实固体废物处置措施。</w:t>
      </w:r>
      <w:r>
        <w:rPr>
          <w:rFonts w:hint="eastAsia" w:ascii="Times New Roman" w:hAnsi="Times New Roman" w:eastAsia="仿宋"/>
          <w:bCs/>
          <w:color w:val="000000"/>
          <w:kern w:val="44"/>
          <w:sz w:val="32"/>
          <w:szCs w:val="20"/>
        </w:rPr>
        <w:t>运营期</w:t>
      </w:r>
      <w:r>
        <w:rPr>
          <w:rFonts w:ascii="Times New Roman" w:hAnsi="Times New Roman" w:eastAsia="仿宋"/>
          <w:bCs/>
          <w:color w:val="000000"/>
          <w:kern w:val="44"/>
          <w:sz w:val="32"/>
          <w:szCs w:val="20"/>
        </w:rPr>
        <w:t>产生的栅渣及砂粒经统一收集、脱水等预处理后</w:t>
      </w:r>
      <w:r>
        <w:rPr>
          <w:rFonts w:hint="eastAsia" w:ascii="Times New Roman" w:hAnsi="Times New Roman" w:eastAsia="仿宋"/>
          <w:bCs/>
          <w:color w:val="000000"/>
          <w:kern w:val="44"/>
          <w:sz w:val="32"/>
          <w:szCs w:val="20"/>
        </w:rPr>
        <w:t>交由环卫部门进行处理</w:t>
      </w:r>
      <w:r>
        <w:rPr>
          <w:rFonts w:ascii="Times New Roman" w:hAnsi="Times New Roman" w:eastAsia="仿宋"/>
          <w:bCs/>
          <w:color w:val="000000"/>
          <w:kern w:val="44"/>
          <w:sz w:val="32"/>
          <w:szCs w:val="20"/>
        </w:rPr>
        <w:t>。生活垃圾由环卫部门定期收集。项目污泥经脱水后，含水率可降低至</w:t>
      </w:r>
      <w:r>
        <w:rPr>
          <w:rFonts w:hint="eastAsia" w:ascii="Times New Roman" w:hAnsi="Times New Roman" w:eastAsia="仿宋"/>
          <w:bCs/>
          <w:color w:val="000000"/>
          <w:kern w:val="44"/>
          <w:sz w:val="32"/>
          <w:szCs w:val="20"/>
        </w:rPr>
        <w:t>8</w:t>
      </w:r>
      <w:r>
        <w:rPr>
          <w:rFonts w:ascii="Times New Roman" w:hAnsi="Times New Roman" w:eastAsia="仿宋"/>
          <w:bCs/>
          <w:color w:val="000000"/>
          <w:kern w:val="44"/>
          <w:sz w:val="32"/>
          <w:szCs w:val="20"/>
        </w:rPr>
        <w:t>0%以下，定期由密封翻斗车外运委托四川筑垣保温墙材料科技有限公司处理。</w:t>
      </w:r>
      <w:r>
        <w:rPr>
          <w:rFonts w:hint="eastAsia" w:ascii="Times New Roman" w:hAnsi="Times New Roman" w:eastAsia="仿宋"/>
          <w:bCs/>
          <w:color w:val="000000"/>
          <w:kern w:val="44"/>
          <w:sz w:val="32"/>
          <w:szCs w:val="20"/>
        </w:rPr>
        <w:t>项目新建污泥脱水间，新增污泥堆棚，对脱水后的污泥进行暂存，要求污泥堆棚按照“防风、防雨、防渗”三防要求建设，四周设置围挡。废紫外灯、化验室固废、废矿物油、废油桶、设备日常维护中产生的废含油棉纱和抹布</w:t>
      </w:r>
      <w:r>
        <w:rPr>
          <w:rFonts w:ascii="Times New Roman" w:hAnsi="Times New Roman" w:eastAsia="仿宋"/>
          <w:bCs/>
          <w:color w:val="000000"/>
          <w:kern w:val="44"/>
          <w:sz w:val="32"/>
          <w:szCs w:val="20"/>
        </w:rPr>
        <w:t>分类集中收集后暂存于厂区现有危废间，定期交由资质单位进行处理。</w:t>
      </w:r>
    </w:p>
    <w:p>
      <w:pPr>
        <w:pStyle w:val="3"/>
        <w:spacing w:after="0" w:line="578" w:lineRule="exact"/>
        <w:ind w:firstLine="640" w:firstLineChars="200"/>
        <w:rPr>
          <w:rFonts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7.</w:t>
      </w:r>
      <w:r>
        <w:rPr>
          <w:rFonts w:hint="eastAsia" w:ascii="Times New Roman" w:hAnsi="Times New Roman" w:eastAsia="仿宋"/>
          <w:bCs/>
          <w:color w:val="000000"/>
          <w:kern w:val="44"/>
          <w:sz w:val="32"/>
          <w:szCs w:val="20"/>
        </w:rPr>
        <w:t>项目地下水污染防治坚持“源头控制、分区防治、污染监控、应急响应”的原则，按报告表要求进行分区防渗，定期监测项目区地下水水质，预防渗漏造成地下水污染。一旦发现水质异常，应及时报告当地生态环境部门，并采取相应应急措施，及时组织环境影响后评价。</w:t>
      </w:r>
    </w:p>
    <w:p>
      <w:pPr>
        <w:pStyle w:val="3"/>
        <w:spacing w:after="0" w:line="578" w:lineRule="exact"/>
        <w:ind w:firstLine="640" w:firstLineChars="200"/>
        <w:rPr>
          <w:rFonts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8.</w:t>
      </w:r>
      <w:r>
        <w:rPr>
          <w:rFonts w:hint="eastAsia" w:ascii="Times New Roman" w:hAnsi="Times New Roman" w:eastAsia="仿宋"/>
          <w:bCs/>
          <w:color w:val="000000"/>
          <w:kern w:val="44"/>
          <w:sz w:val="32"/>
          <w:szCs w:val="20"/>
        </w:rPr>
        <w:t>按照环境风险事故防范要求，全面落实各项环境风险防范措施，完善应急预案，定期排查环境安全隐患。构建与当地政府和相关部门相衔接的区域环境风险联防联控机制，一旦发生环境风险事故，立即启动环境风险应急预案，确保生态环境安全。</w:t>
      </w:r>
    </w:p>
    <w:p>
      <w:pPr>
        <w:pStyle w:val="3"/>
        <w:spacing w:after="0" w:line="578" w:lineRule="exact"/>
        <w:ind w:firstLine="640" w:firstLineChars="200"/>
        <w:rPr>
          <w:rFonts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9.</w:t>
      </w:r>
      <w:r>
        <w:rPr>
          <w:rFonts w:hint="eastAsia" w:ascii="Times New Roman" w:hAnsi="Times New Roman" w:eastAsia="仿宋"/>
          <w:bCs/>
          <w:color w:val="000000"/>
          <w:kern w:val="44"/>
          <w:sz w:val="32"/>
          <w:szCs w:val="20"/>
        </w:rPr>
        <w:t>认真落实报告表提出的环境管理和环境监测计划，依法定期向公众发布环境信息，主动接受社会监督。项目实施过程中，应建立畅通的公众参与平台，及时解决公众提出的合理环境诉求。</w:t>
      </w:r>
    </w:p>
    <w:p>
      <w:pPr>
        <w:pStyle w:val="3"/>
        <w:spacing w:after="0" w:line="578" w:lineRule="exact"/>
        <w:ind w:firstLine="640" w:firstLineChars="200"/>
        <w:rPr>
          <w:rFonts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10.</w:t>
      </w:r>
      <w:r>
        <w:rPr>
          <w:rFonts w:hint="eastAsia" w:ascii="Times New Roman" w:hAnsi="Times New Roman" w:eastAsia="仿宋"/>
          <w:bCs/>
          <w:color w:val="000000"/>
          <w:kern w:val="44"/>
          <w:sz w:val="32"/>
          <w:szCs w:val="20"/>
        </w:rPr>
        <w:t>项目涉及安全风险事故相关问题和控制措施以安全监管部门的要求为准。项目建设运营应依法办理其他相关手续。</w:t>
      </w:r>
    </w:p>
    <w:p>
      <w:pPr>
        <w:pStyle w:val="3"/>
        <w:spacing w:after="0" w:line="578" w:lineRule="exact"/>
        <w:ind w:firstLine="640" w:firstLineChars="200"/>
        <w:rPr>
          <w:rFonts w:ascii="Times New Roman" w:hAnsi="Times New Roman" w:eastAsia="仿宋"/>
          <w:bCs/>
          <w:color w:val="000000"/>
          <w:kern w:val="44"/>
          <w:sz w:val="32"/>
          <w:szCs w:val="20"/>
        </w:rPr>
      </w:pPr>
      <w:r>
        <w:rPr>
          <w:rFonts w:hint="eastAsia" w:ascii="Times New Roman" w:hAnsi="Times New Roman" w:eastAsia="仿宋"/>
          <w:bCs/>
          <w:color w:val="000000"/>
          <w:kern w:val="44"/>
          <w:sz w:val="32"/>
          <w:szCs w:val="20"/>
          <w:lang w:val="en-US" w:eastAsia="zh-CN"/>
        </w:rPr>
        <w:t>11.建设项目涉及其他相关环境问题，请建设及营运单位严格按照报告书的要求和技术审查意见落实。</w:t>
      </w:r>
    </w:p>
    <w:p>
      <w:pPr>
        <w:spacing w:line="578" w:lineRule="exact"/>
        <w:ind w:firstLine="630"/>
        <w:rPr>
          <w:rFonts w:ascii="Times New Roman" w:hAnsi="Times New Roman" w:eastAsia="仿宋" w:cs="Times New Roman"/>
          <w:bCs/>
          <w:color w:val="000000"/>
          <w:kern w:val="44"/>
          <w:sz w:val="32"/>
          <w:szCs w:val="32"/>
        </w:rPr>
      </w:pPr>
      <w:r>
        <w:rPr>
          <w:rFonts w:hint="eastAsia" w:ascii="Times New Roman" w:hAnsi="Times New Roman" w:eastAsia="仿宋" w:cs="Times New Roman"/>
          <w:bCs/>
          <w:color w:val="000000"/>
          <w:kern w:val="44"/>
          <w:sz w:val="32"/>
          <w:szCs w:val="32"/>
          <w:lang w:val="en-US" w:eastAsia="zh-CN"/>
        </w:rPr>
        <w:t>三、项目必须严格执行环境保护“三同时”制度。项目竣工后，建设单位必须开展环境保护竣工验收，验收合格后，工程项目方可正式投入生产使用。否则，按照《建设项目环境保护管理条例》二十三条规定予以处罚。</w:t>
      </w:r>
      <w:r>
        <w:rPr>
          <w:rFonts w:hint="eastAsia" w:ascii="Times New Roman" w:hAnsi="Times New Roman" w:eastAsia="仿宋" w:cs="Times New Roman"/>
          <w:bCs/>
          <w:color w:val="000000"/>
          <w:kern w:val="44"/>
          <w:sz w:val="32"/>
          <w:szCs w:val="32"/>
        </w:rPr>
        <w:t>纳入《固定污染源排污许可分类管理名录》的项目，应启动生产设施或者在实际排污之前申请取得排污许可证或填报排污登记表。</w:t>
      </w:r>
    </w:p>
    <w:p>
      <w:pPr>
        <w:spacing w:line="578" w:lineRule="exact"/>
        <w:ind w:firstLine="630"/>
        <w:rPr>
          <w:rFonts w:hint="eastAsia" w:ascii="Times New Roman" w:hAnsi="Times New Roman" w:eastAsia="仿宋" w:cs="Times New Roman"/>
          <w:bCs/>
          <w:color w:val="000000"/>
          <w:kern w:val="44"/>
          <w:sz w:val="32"/>
          <w:szCs w:val="32"/>
          <w:lang w:val="en-US" w:eastAsia="zh-CN"/>
        </w:rPr>
      </w:pPr>
      <w:r>
        <w:rPr>
          <w:rFonts w:hint="eastAsia" w:ascii="Times New Roman" w:hAnsi="Times New Roman" w:eastAsia="仿宋" w:cs="Times New Roman"/>
          <w:bCs/>
          <w:color w:val="000000"/>
          <w:kern w:val="44"/>
          <w:sz w:val="32"/>
          <w:szCs w:val="32"/>
          <w:lang w:val="en-US" w:eastAsia="zh-CN"/>
        </w:rPr>
        <w:t>四、自环境影响评价文件批复之日起：如工程超过5年未开工建设，项目的性质、规模、地点、采取的生产工艺、污染防治措施发生重大变动，应当重新报批建设项目环境影响评价文件，否则不得实施建设。</w:t>
      </w:r>
    </w:p>
    <w:p>
      <w:pPr>
        <w:spacing w:line="578" w:lineRule="exact"/>
        <w:ind w:firstLine="630"/>
        <w:rPr>
          <w:rFonts w:hint="eastAsia" w:ascii="Times New Roman" w:hAnsi="Times New Roman" w:eastAsia="仿宋" w:cs="Times New Roman"/>
          <w:bCs/>
          <w:color w:val="000000"/>
          <w:kern w:val="44"/>
          <w:sz w:val="32"/>
          <w:szCs w:val="32"/>
          <w:lang w:val="en-US" w:eastAsia="zh-CN"/>
        </w:rPr>
      </w:pPr>
      <w:r>
        <w:rPr>
          <w:rFonts w:hint="eastAsia" w:ascii="Times New Roman" w:hAnsi="Times New Roman" w:eastAsia="仿宋" w:cs="Times New Roman"/>
          <w:bCs/>
          <w:color w:val="000000"/>
          <w:kern w:val="44"/>
          <w:sz w:val="32"/>
          <w:szCs w:val="32"/>
          <w:lang w:val="en-US" w:eastAsia="zh-CN"/>
        </w:rPr>
        <w:t>五、有以下情形之一的，一切损失及后果由建设单位自行承担：</w:t>
      </w:r>
    </w:p>
    <w:p>
      <w:pPr>
        <w:spacing w:line="578" w:lineRule="exact"/>
        <w:ind w:firstLine="630"/>
        <w:rPr>
          <w:rFonts w:hint="eastAsia" w:ascii="Times New Roman" w:hAnsi="Times New Roman" w:eastAsia="仿宋" w:cs="Times New Roman"/>
          <w:bCs/>
          <w:color w:val="000000"/>
          <w:kern w:val="44"/>
          <w:sz w:val="32"/>
          <w:szCs w:val="32"/>
          <w:lang w:val="en-US" w:eastAsia="zh-CN"/>
        </w:rPr>
      </w:pPr>
      <w:r>
        <w:rPr>
          <w:rFonts w:hint="eastAsia" w:ascii="Times New Roman" w:hAnsi="Times New Roman" w:eastAsia="仿宋" w:cs="Times New Roman"/>
          <w:bCs/>
          <w:color w:val="000000"/>
          <w:kern w:val="44"/>
          <w:sz w:val="32"/>
          <w:szCs w:val="32"/>
          <w:lang w:val="en-US" w:eastAsia="zh-CN"/>
        </w:rPr>
        <w:t>1.项目建设未严格按照报告书及批复要求落实各项措施，擅自改变工艺、污染防治措施等，造成污染危害、污染事故或污染扰民。</w:t>
      </w:r>
    </w:p>
    <w:p>
      <w:pPr>
        <w:spacing w:line="578" w:lineRule="exact"/>
        <w:ind w:firstLine="630"/>
        <w:rPr>
          <w:rFonts w:hint="eastAsia" w:ascii="Times New Roman" w:hAnsi="Times New Roman" w:eastAsia="仿宋" w:cs="Times New Roman"/>
          <w:bCs/>
          <w:color w:val="000000"/>
          <w:kern w:val="44"/>
          <w:sz w:val="32"/>
          <w:szCs w:val="32"/>
          <w:lang w:val="en-US" w:eastAsia="zh-CN"/>
        </w:rPr>
      </w:pPr>
      <w:r>
        <w:rPr>
          <w:rFonts w:hint="eastAsia" w:ascii="Times New Roman" w:hAnsi="Times New Roman" w:eastAsia="仿宋" w:cs="Times New Roman"/>
          <w:bCs/>
          <w:color w:val="000000"/>
          <w:kern w:val="44"/>
          <w:sz w:val="32"/>
          <w:szCs w:val="32"/>
          <w:lang w:val="en-US" w:eastAsia="zh-CN"/>
        </w:rPr>
        <w:t>2.未按照报告书及批复要求，擅自排放其它污染物或其他有毒有害物质。</w:t>
      </w:r>
    </w:p>
    <w:p>
      <w:pPr>
        <w:spacing w:line="578" w:lineRule="exact"/>
        <w:ind w:firstLine="630"/>
        <w:rPr>
          <w:rFonts w:hint="eastAsia" w:ascii="Times New Roman" w:hAnsi="Times New Roman" w:eastAsia="仿宋" w:cs="Times New Roman"/>
          <w:bCs/>
          <w:color w:val="000000"/>
          <w:kern w:val="44"/>
          <w:sz w:val="32"/>
          <w:szCs w:val="32"/>
          <w:lang w:val="en-US" w:eastAsia="zh-CN"/>
        </w:rPr>
      </w:pPr>
      <w:r>
        <w:rPr>
          <w:rFonts w:hint="eastAsia" w:ascii="Times New Roman" w:hAnsi="Times New Roman" w:eastAsia="仿宋" w:cs="Times New Roman"/>
          <w:bCs/>
          <w:color w:val="000000"/>
          <w:kern w:val="44"/>
          <w:sz w:val="32"/>
          <w:szCs w:val="32"/>
          <w:lang w:val="en-US" w:eastAsia="zh-CN"/>
        </w:rPr>
        <w:t>3.环境影响报告书或其他相关内容存在弄虚作假情况。</w:t>
      </w:r>
    </w:p>
    <w:p>
      <w:pPr>
        <w:spacing w:line="578" w:lineRule="exact"/>
        <w:ind w:firstLine="630"/>
        <w:rPr>
          <w:rFonts w:hint="default" w:ascii="Times New Roman" w:hAnsi="Times New Roman" w:eastAsia="仿宋" w:cs="Times New Roman"/>
          <w:bCs/>
          <w:color w:val="000000"/>
          <w:kern w:val="44"/>
          <w:sz w:val="32"/>
          <w:szCs w:val="32"/>
          <w:lang w:val="en-US" w:eastAsia="zh-CN"/>
        </w:rPr>
      </w:pPr>
      <w:r>
        <w:rPr>
          <w:rFonts w:hint="default" w:ascii="Times New Roman" w:hAnsi="Times New Roman" w:eastAsia="仿宋" w:cs="Times New Roman"/>
          <w:bCs/>
          <w:color w:val="000000"/>
          <w:kern w:val="44"/>
          <w:sz w:val="32"/>
          <w:szCs w:val="32"/>
          <w:lang w:val="en-US" w:eastAsia="zh-CN"/>
        </w:rPr>
        <w:t>六、由达州高新区生态环境保护综合行政执法大队负责该项目日常环境保护</w:t>
      </w:r>
      <w:r>
        <w:rPr>
          <w:rFonts w:hint="eastAsia" w:ascii="Times New Roman" w:hAnsi="Times New Roman" w:eastAsia="仿宋" w:cs="Times New Roman"/>
          <w:bCs/>
          <w:color w:val="000000"/>
          <w:kern w:val="44"/>
          <w:sz w:val="32"/>
          <w:szCs w:val="32"/>
          <w:lang w:val="en-US" w:eastAsia="zh-CN"/>
        </w:rPr>
        <w:t>综合监管</w:t>
      </w:r>
      <w:r>
        <w:rPr>
          <w:rFonts w:hint="default" w:ascii="Times New Roman" w:hAnsi="Times New Roman" w:eastAsia="仿宋" w:cs="Times New Roman"/>
          <w:bCs/>
          <w:color w:val="000000"/>
          <w:kern w:val="44"/>
          <w:sz w:val="32"/>
          <w:szCs w:val="32"/>
          <w:lang w:val="en-US" w:eastAsia="zh-CN"/>
        </w:rPr>
        <w:t>工作。</w:t>
      </w:r>
    </w:p>
    <w:p>
      <w:pPr>
        <w:spacing w:line="520" w:lineRule="exact"/>
        <w:ind w:firstLine="5760" w:firstLineChars="1800"/>
        <w:rPr>
          <w:rFonts w:ascii="Times New Roman" w:hAnsi="Times New Roman" w:eastAsia="仿宋" w:cs="Times New Roman"/>
          <w:bCs/>
          <w:color w:val="000000"/>
          <w:kern w:val="44"/>
          <w:sz w:val="32"/>
          <w:szCs w:val="32"/>
        </w:rPr>
      </w:pPr>
    </w:p>
    <w:p>
      <w:pPr>
        <w:spacing w:line="520" w:lineRule="exact"/>
        <w:ind w:firstLine="5760" w:firstLineChars="1800"/>
        <w:rPr>
          <w:rFonts w:ascii="Times New Roman" w:hAnsi="Times New Roman" w:eastAsia="仿宋" w:cs="Times New Roman"/>
          <w:bCs/>
          <w:color w:val="000000"/>
          <w:kern w:val="44"/>
          <w:sz w:val="32"/>
          <w:szCs w:val="32"/>
        </w:rPr>
      </w:pPr>
    </w:p>
    <w:p>
      <w:pPr>
        <w:spacing w:line="520" w:lineRule="exact"/>
        <w:rPr>
          <w:rFonts w:ascii="Times New Roman" w:hAnsi="Times New Roman" w:eastAsia="仿宋" w:cs="Times New Roman"/>
          <w:bCs/>
          <w:color w:val="000000"/>
          <w:kern w:val="44"/>
          <w:sz w:val="32"/>
          <w:szCs w:val="32"/>
        </w:rPr>
      </w:pPr>
      <w:r>
        <w:rPr>
          <w:rFonts w:ascii="Times New Roman" w:hAnsi="Times New Roman" w:eastAsia="仿宋" w:cs="Times New Roman"/>
          <w:bCs/>
          <w:color w:val="000000"/>
          <w:kern w:val="44"/>
          <w:sz w:val="32"/>
          <w:szCs w:val="32"/>
        </w:rPr>
        <w:t xml:space="preserve">                             达州市高新区</w:t>
      </w:r>
      <w:r>
        <w:rPr>
          <w:rFonts w:ascii="Times New Roman" w:hAnsi="Times New Roman" w:eastAsia="仿宋" w:cs="Times New Roman"/>
          <w:sz w:val="32"/>
          <w:szCs w:val="32"/>
        </w:rPr>
        <w:t>生态环境</w:t>
      </w:r>
      <w:r>
        <w:rPr>
          <w:rFonts w:ascii="Times New Roman" w:hAnsi="Times New Roman" w:eastAsia="仿宋" w:cs="Times New Roman"/>
          <w:bCs/>
          <w:color w:val="000000"/>
          <w:kern w:val="44"/>
          <w:sz w:val="32"/>
          <w:szCs w:val="32"/>
        </w:rPr>
        <w:t>局</w:t>
      </w:r>
    </w:p>
    <w:p>
      <w:pPr>
        <w:spacing w:line="520" w:lineRule="exact"/>
        <w:ind w:firstLine="5280" w:firstLineChars="1650"/>
        <w:rPr>
          <w:rFonts w:ascii="Times New Roman" w:hAnsi="Times New Roman" w:eastAsia="仿宋" w:cs="Times New Roman"/>
          <w:sz w:val="32"/>
          <w:szCs w:val="32"/>
        </w:rPr>
      </w:pPr>
      <w:r>
        <w:rPr>
          <w:rFonts w:ascii="Times New Roman" w:hAnsi="Times New Roman" w:eastAsia="仿宋" w:cs="Times New Roman"/>
          <w:sz w:val="32"/>
          <w:szCs w:val="32"/>
        </w:rPr>
        <w:t>202</w:t>
      </w:r>
      <w:r>
        <w:rPr>
          <w:rFonts w:hint="eastAsia" w:ascii="Times New Roman" w:hAnsi="Times New Roman" w:eastAsia="仿宋" w:cs="Times New Roman"/>
          <w:sz w:val="32"/>
          <w:szCs w:val="32"/>
        </w:rPr>
        <w:t>4</w:t>
      </w:r>
      <w:r>
        <w:rPr>
          <w:rFonts w:ascii="Times New Roman" w:hAnsi="Times New Roman" w:eastAsia="仿宋" w:cs="Times New Roman"/>
          <w:sz w:val="32"/>
          <w:szCs w:val="32"/>
        </w:rPr>
        <w:t>年</w:t>
      </w:r>
      <w:r>
        <w:rPr>
          <w:rFonts w:hint="eastAsia" w:ascii="Times New Roman" w:hAnsi="Times New Roman" w:eastAsia="仿宋" w:cs="Times New Roman"/>
          <w:sz w:val="32"/>
          <w:szCs w:val="32"/>
        </w:rPr>
        <w:t>1</w:t>
      </w:r>
      <w:r>
        <w:rPr>
          <w:rFonts w:ascii="Times New Roman" w:hAnsi="Times New Roman" w:eastAsia="仿宋" w:cs="Times New Roman"/>
          <w:sz w:val="32"/>
          <w:szCs w:val="32"/>
        </w:rPr>
        <w:t>月</w:t>
      </w:r>
      <w:r>
        <w:rPr>
          <w:rFonts w:hint="eastAsia" w:ascii="Times New Roman" w:hAnsi="Times New Roman" w:eastAsia="仿宋" w:cs="Times New Roman"/>
          <w:sz w:val="32"/>
          <w:szCs w:val="32"/>
        </w:rPr>
        <w:t>18</w:t>
      </w:r>
      <w:r>
        <w:rPr>
          <w:rFonts w:ascii="Times New Roman" w:hAnsi="Times New Roman" w:eastAsia="仿宋" w:cs="Times New Roman"/>
          <w:sz w:val="32"/>
          <w:szCs w:val="32"/>
        </w:rPr>
        <w:t>日</w:t>
      </w:r>
    </w:p>
    <w:p>
      <w:pPr>
        <w:spacing w:line="480" w:lineRule="exact"/>
        <w:ind w:firstLine="4800" w:firstLineChars="1500"/>
        <w:rPr>
          <w:rFonts w:ascii="Times New Roman" w:hAnsi="Times New Roman" w:eastAsia="仿宋" w:cs="Times New Roman"/>
          <w:sz w:val="32"/>
          <w:szCs w:val="32"/>
        </w:rPr>
      </w:pPr>
    </w:p>
    <w:sectPr>
      <w:headerReference r:id="rId3" w:type="default"/>
      <w:footerReference r:id="rId4" w:type="default"/>
      <w:footerReference r:id="rId5" w:type="even"/>
      <w:pgSz w:w="11906" w:h="16838"/>
      <w:pgMar w:top="2098" w:right="1474" w:bottom="1985" w:left="1588" w:header="851" w:footer="1589" w:gutter="0"/>
      <w:pgNumType w:fmt="numberInDash"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1" w:fontKey="{E44D4821-EADD-4B07-ADF0-B4071018FD87}"/>
  </w:font>
  <w:font w:name="仿宋">
    <w:panose1 w:val="02010609060101010101"/>
    <w:charset w:val="86"/>
    <w:family w:val="modern"/>
    <w:pitch w:val="default"/>
    <w:sig w:usb0="800002BF" w:usb1="38CF7CFA" w:usb2="00000016" w:usb3="00000000" w:csb0="00040001" w:csb1="00000000"/>
    <w:embedRegular r:id="rId2" w:fontKey="{A2781931-8722-4EF1-9936-13E2C43C8C55}"/>
  </w:font>
  <w:font w:name="方正小标宋简体">
    <w:panose1 w:val="02000000000000000000"/>
    <w:charset w:val="86"/>
    <w:family w:val="auto"/>
    <w:pitch w:val="default"/>
    <w:sig w:usb0="00000001" w:usb1="08000000" w:usb2="00000000" w:usb3="00000000" w:csb0="00040000" w:csb1="00000000"/>
    <w:embedRegular r:id="rId3" w:fontKey="{1E7ADB4F-1BA7-4058-AF1C-7E461B0FD91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35473070"/>
    </w:sdtPr>
    <w:sdtContent>
      <w:p>
        <w:pPr>
          <w:pStyle w:val="6"/>
          <w:jc w:val="right"/>
        </w:pPr>
        <w:r>
          <w:rPr>
            <w:rFonts w:asciiTheme="minorEastAsia" w:hAnsiTheme="minorEastAsia"/>
            <w:sz w:val="28"/>
            <w:szCs w:val="28"/>
          </w:rPr>
          <w:fldChar w:fldCharType="begin"/>
        </w:r>
        <w:r>
          <w:rPr>
            <w:rFonts w:asciiTheme="minorEastAsia" w:hAnsiTheme="minorEastAsia"/>
            <w:sz w:val="28"/>
            <w:szCs w:val="28"/>
          </w:rPr>
          <w:instrText xml:space="preserve">PAGE   \* MERGEFORMAT</w:instrText>
        </w:r>
        <w:r>
          <w:rPr>
            <w:rFonts w:asciiTheme="minorEastAsia" w:hAnsiTheme="minorEastAsia"/>
            <w:sz w:val="28"/>
            <w:szCs w:val="28"/>
          </w:rPr>
          <w:fldChar w:fldCharType="separate"/>
        </w:r>
        <w:r>
          <w:rPr>
            <w:rFonts w:asciiTheme="minorEastAsia" w:hAnsiTheme="minorEastAsia"/>
            <w:sz w:val="28"/>
            <w:szCs w:val="28"/>
            <w:lang w:val="zh-CN"/>
          </w:rPr>
          <w:t>-</w:t>
        </w:r>
        <w:r>
          <w:rPr>
            <w:rFonts w:asciiTheme="minorEastAsia" w:hAnsiTheme="minorEastAsia"/>
            <w:sz w:val="28"/>
            <w:szCs w:val="28"/>
          </w:rPr>
          <w:t xml:space="preserve"> 3 -</w:t>
        </w:r>
        <w:r>
          <w:rPr>
            <w:rFonts w:asciiTheme="minorEastAsia" w:hAnsiTheme="minorEastAsia"/>
            <w:sz w:val="28"/>
            <w:szCs w:val="28"/>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TrueTypeFonts/>
  <w:saveSubset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E3MmI3ZjU1NzczNTM5ZDg3ODkyODAzN2YyNzk5ODQifQ=="/>
  </w:docVars>
  <w:rsids>
    <w:rsidRoot w:val="2D2924C1"/>
    <w:rsid w:val="0003027A"/>
    <w:rsid w:val="0003226F"/>
    <w:rsid w:val="00095960"/>
    <w:rsid w:val="00096B07"/>
    <w:rsid w:val="000B3836"/>
    <w:rsid w:val="00101BBB"/>
    <w:rsid w:val="00105905"/>
    <w:rsid w:val="00152BA6"/>
    <w:rsid w:val="001614BC"/>
    <w:rsid w:val="001711B3"/>
    <w:rsid w:val="0017328E"/>
    <w:rsid w:val="001B2941"/>
    <w:rsid w:val="001C3002"/>
    <w:rsid w:val="001E1FE3"/>
    <w:rsid w:val="00225FB7"/>
    <w:rsid w:val="00231623"/>
    <w:rsid w:val="00241923"/>
    <w:rsid w:val="002623FA"/>
    <w:rsid w:val="002A5E04"/>
    <w:rsid w:val="002C688F"/>
    <w:rsid w:val="00317BEA"/>
    <w:rsid w:val="00366CE0"/>
    <w:rsid w:val="0037587F"/>
    <w:rsid w:val="00386CAB"/>
    <w:rsid w:val="00387419"/>
    <w:rsid w:val="003D1215"/>
    <w:rsid w:val="003D425F"/>
    <w:rsid w:val="003E1150"/>
    <w:rsid w:val="003F354C"/>
    <w:rsid w:val="00400C01"/>
    <w:rsid w:val="00410F6B"/>
    <w:rsid w:val="00413E77"/>
    <w:rsid w:val="00450D4A"/>
    <w:rsid w:val="004649E7"/>
    <w:rsid w:val="00486539"/>
    <w:rsid w:val="00494C84"/>
    <w:rsid w:val="004E4D0C"/>
    <w:rsid w:val="00510B1C"/>
    <w:rsid w:val="00530E01"/>
    <w:rsid w:val="00573E2B"/>
    <w:rsid w:val="0058307E"/>
    <w:rsid w:val="00606DF5"/>
    <w:rsid w:val="0061556B"/>
    <w:rsid w:val="006269D8"/>
    <w:rsid w:val="00630256"/>
    <w:rsid w:val="00642312"/>
    <w:rsid w:val="00654BCA"/>
    <w:rsid w:val="006574C8"/>
    <w:rsid w:val="006635A0"/>
    <w:rsid w:val="00674B64"/>
    <w:rsid w:val="006C7DC5"/>
    <w:rsid w:val="007114DC"/>
    <w:rsid w:val="007407FB"/>
    <w:rsid w:val="00753354"/>
    <w:rsid w:val="00772816"/>
    <w:rsid w:val="007B0A3F"/>
    <w:rsid w:val="008130B7"/>
    <w:rsid w:val="00841F7A"/>
    <w:rsid w:val="00845FCC"/>
    <w:rsid w:val="008643BA"/>
    <w:rsid w:val="00894492"/>
    <w:rsid w:val="008A0CD8"/>
    <w:rsid w:val="008C058E"/>
    <w:rsid w:val="008C276F"/>
    <w:rsid w:val="008D25E2"/>
    <w:rsid w:val="008E421D"/>
    <w:rsid w:val="008F022E"/>
    <w:rsid w:val="00916134"/>
    <w:rsid w:val="00930272"/>
    <w:rsid w:val="00935600"/>
    <w:rsid w:val="009462A9"/>
    <w:rsid w:val="00987077"/>
    <w:rsid w:val="00A12874"/>
    <w:rsid w:val="00A2407C"/>
    <w:rsid w:val="00A30166"/>
    <w:rsid w:val="00A45BD9"/>
    <w:rsid w:val="00AA75EB"/>
    <w:rsid w:val="00AD61F1"/>
    <w:rsid w:val="00AF28DC"/>
    <w:rsid w:val="00AF3185"/>
    <w:rsid w:val="00B33A1A"/>
    <w:rsid w:val="00B813FE"/>
    <w:rsid w:val="00B87986"/>
    <w:rsid w:val="00B95298"/>
    <w:rsid w:val="00BA40EE"/>
    <w:rsid w:val="00BB0D6F"/>
    <w:rsid w:val="00BB5C12"/>
    <w:rsid w:val="00BE6844"/>
    <w:rsid w:val="00C27E75"/>
    <w:rsid w:val="00C32D83"/>
    <w:rsid w:val="00C4097B"/>
    <w:rsid w:val="00C44B9D"/>
    <w:rsid w:val="00C62C89"/>
    <w:rsid w:val="00C71395"/>
    <w:rsid w:val="00C770CC"/>
    <w:rsid w:val="00CA4128"/>
    <w:rsid w:val="00CD4D76"/>
    <w:rsid w:val="00CD712D"/>
    <w:rsid w:val="00D074C3"/>
    <w:rsid w:val="00D36F94"/>
    <w:rsid w:val="00D45409"/>
    <w:rsid w:val="00D7135C"/>
    <w:rsid w:val="00D719AB"/>
    <w:rsid w:val="00D93C92"/>
    <w:rsid w:val="00DB0FDB"/>
    <w:rsid w:val="00DC2E31"/>
    <w:rsid w:val="00DD4E95"/>
    <w:rsid w:val="00DE58FF"/>
    <w:rsid w:val="00E318B0"/>
    <w:rsid w:val="00E806FE"/>
    <w:rsid w:val="00E906C3"/>
    <w:rsid w:val="00EC3203"/>
    <w:rsid w:val="00EE47F0"/>
    <w:rsid w:val="00F102F5"/>
    <w:rsid w:val="00F15303"/>
    <w:rsid w:val="00F2383B"/>
    <w:rsid w:val="00F812C8"/>
    <w:rsid w:val="00F85E32"/>
    <w:rsid w:val="00F9362C"/>
    <w:rsid w:val="00FA341B"/>
    <w:rsid w:val="00FC2583"/>
    <w:rsid w:val="00FD688A"/>
    <w:rsid w:val="02983AF5"/>
    <w:rsid w:val="035A307B"/>
    <w:rsid w:val="06B867D0"/>
    <w:rsid w:val="07311AB0"/>
    <w:rsid w:val="08015DAB"/>
    <w:rsid w:val="09803889"/>
    <w:rsid w:val="0C392F35"/>
    <w:rsid w:val="0C612C8D"/>
    <w:rsid w:val="0CD06CD9"/>
    <w:rsid w:val="0D5624DF"/>
    <w:rsid w:val="12202FA7"/>
    <w:rsid w:val="132D60B6"/>
    <w:rsid w:val="145C598D"/>
    <w:rsid w:val="14ED796C"/>
    <w:rsid w:val="15B418D1"/>
    <w:rsid w:val="166C5148"/>
    <w:rsid w:val="169B4501"/>
    <w:rsid w:val="1959724E"/>
    <w:rsid w:val="1C454464"/>
    <w:rsid w:val="1CE66BF4"/>
    <w:rsid w:val="1F1C5E0A"/>
    <w:rsid w:val="21300CB1"/>
    <w:rsid w:val="21A16053"/>
    <w:rsid w:val="24212362"/>
    <w:rsid w:val="244966EA"/>
    <w:rsid w:val="25381017"/>
    <w:rsid w:val="262C31E2"/>
    <w:rsid w:val="2843613D"/>
    <w:rsid w:val="29DD3C10"/>
    <w:rsid w:val="2A707823"/>
    <w:rsid w:val="2B040B35"/>
    <w:rsid w:val="2D2924C1"/>
    <w:rsid w:val="31C00191"/>
    <w:rsid w:val="34513F1C"/>
    <w:rsid w:val="3B2E204C"/>
    <w:rsid w:val="3B9D79CE"/>
    <w:rsid w:val="3CF5D085"/>
    <w:rsid w:val="3FB05F21"/>
    <w:rsid w:val="3FCA5431"/>
    <w:rsid w:val="3FE3D34C"/>
    <w:rsid w:val="41AE061A"/>
    <w:rsid w:val="42A2013B"/>
    <w:rsid w:val="4328165F"/>
    <w:rsid w:val="435C3AB1"/>
    <w:rsid w:val="44D627A0"/>
    <w:rsid w:val="454F4B38"/>
    <w:rsid w:val="455F1926"/>
    <w:rsid w:val="4651388E"/>
    <w:rsid w:val="4ABB1241"/>
    <w:rsid w:val="4B1E470B"/>
    <w:rsid w:val="4C726290"/>
    <w:rsid w:val="4D785BA5"/>
    <w:rsid w:val="4F59685C"/>
    <w:rsid w:val="50476917"/>
    <w:rsid w:val="50A57659"/>
    <w:rsid w:val="50EC2C1B"/>
    <w:rsid w:val="51FB10F9"/>
    <w:rsid w:val="543C42C7"/>
    <w:rsid w:val="570D729C"/>
    <w:rsid w:val="58275C01"/>
    <w:rsid w:val="5C205150"/>
    <w:rsid w:val="5CFB1AD8"/>
    <w:rsid w:val="5FBFC64C"/>
    <w:rsid w:val="61A45DD9"/>
    <w:rsid w:val="625C0C57"/>
    <w:rsid w:val="631D00D0"/>
    <w:rsid w:val="640E2967"/>
    <w:rsid w:val="65E36261"/>
    <w:rsid w:val="6B2945F8"/>
    <w:rsid w:val="6E2C4ADA"/>
    <w:rsid w:val="6EFBA5C5"/>
    <w:rsid w:val="712A2F65"/>
    <w:rsid w:val="73C6371A"/>
    <w:rsid w:val="7592613F"/>
    <w:rsid w:val="75C31803"/>
    <w:rsid w:val="76501D94"/>
    <w:rsid w:val="79836BB0"/>
    <w:rsid w:val="7AA5379F"/>
    <w:rsid w:val="7B1B380F"/>
    <w:rsid w:val="7C234CCB"/>
    <w:rsid w:val="7C3C5415"/>
    <w:rsid w:val="7D157953"/>
    <w:rsid w:val="B3F16F89"/>
    <w:rsid w:val="B98F3E76"/>
    <w:rsid w:val="BFD70FAC"/>
    <w:rsid w:val="BFDED5BC"/>
    <w:rsid w:val="EE971435"/>
    <w:rsid w:val="EEFFA8E2"/>
    <w:rsid w:val="F93F6D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qFormat="1" w:unhideWhenUsed="0" w:uiPriority="0" w:semiHidden="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semiHidden="0" w:name="Default Paragraph Font"/>
    <w:lsdException w:qFormat="1" w:unhideWhenUsed="0" w:uiPriority="0"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1">
    <w:name w:val="Default Paragraph Font"/>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20"/>
    <w:uiPriority w:val="0"/>
    <w:pPr>
      <w:jc w:val="left"/>
    </w:pPr>
  </w:style>
  <w:style w:type="paragraph" w:styleId="3">
    <w:name w:val="Body Text"/>
    <w:basedOn w:val="1"/>
    <w:link w:val="17"/>
    <w:autoRedefine/>
    <w:qFormat/>
    <w:uiPriority w:val="0"/>
    <w:pPr>
      <w:spacing w:after="120"/>
    </w:pPr>
    <w:rPr>
      <w:rFonts w:ascii="Calibri" w:hAnsi="Calibri" w:eastAsia="宋体" w:cs="Times New Roman"/>
    </w:rPr>
  </w:style>
  <w:style w:type="paragraph" w:styleId="4">
    <w:name w:val="Body Text Indent 2"/>
    <w:basedOn w:val="1"/>
    <w:link w:val="16"/>
    <w:autoRedefine/>
    <w:qFormat/>
    <w:uiPriority w:val="0"/>
    <w:pPr>
      <w:ind w:firstLine="645"/>
    </w:pPr>
    <w:rPr>
      <w:rFonts w:ascii="仿宋_GB2312" w:hAnsi="宋体" w:eastAsia="仿宋_GB2312" w:cs="Times New Roman"/>
      <w:bCs/>
      <w:color w:val="000000"/>
      <w:kern w:val="44"/>
      <w:sz w:val="32"/>
      <w:szCs w:val="20"/>
    </w:rPr>
  </w:style>
  <w:style w:type="paragraph" w:styleId="5">
    <w:name w:val="Balloon Text"/>
    <w:basedOn w:val="1"/>
    <w:link w:val="15"/>
    <w:autoRedefine/>
    <w:qFormat/>
    <w:uiPriority w:val="0"/>
    <w:rPr>
      <w:sz w:val="18"/>
      <w:szCs w:val="18"/>
    </w:rPr>
  </w:style>
  <w:style w:type="paragraph" w:styleId="6">
    <w:name w:val="footer"/>
    <w:basedOn w:val="1"/>
    <w:link w:val="14"/>
    <w:autoRedefine/>
    <w:qFormat/>
    <w:uiPriority w:val="99"/>
    <w:pPr>
      <w:tabs>
        <w:tab w:val="center" w:pos="4153"/>
        <w:tab w:val="right" w:pos="8306"/>
      </w:tabs>
      <w:snapToGrid w:val="0"/>
      <w:jc w:val="left"/>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table of figures"/>
    <w:basedOn w:val="1"/>
    <w:next w:val="1"/>
    <w:autoRedefine/>
    <w:qFormat/>
    <w:uiPriority w:val="0"/>
    <w:pPr>
      <w:spacing w:line="500" w:lineRule="atLeast"/>
      <w:ind w:firstLine="200" w:firstLineChars="200"/>
      <w:jc w:val="center"/>
    </w:pPr>
    <w:rPr>
      <w:rFonts w:hint="eastAsia" w:ascii="仿宋_GB2312" w:hAnsi="Times New Roman" w:eastAsia="仿宋_GB2312" w:cs="Times New Roman"/>
      <w:bCs/>
      <w:sz w:val="28"/>
    </w:rPr>
  </w:style>
  <w:style w:type="paragraph" w:styleId="9">
    <w:name w:val="annotation subject"/>
    <w:basedOn w:val="2"/>
    <w:next w:val="2"/>
    <w:link w:val="21"/>
    <w:autoRedefine/>
    <w:qFormat/>
    <w:uiPriority w:val="0"/>
    <w:rPr>
      <w:b/>
      <w:bCs/>
    </w:rPr>
  </w:style>
  <w:style w:type="character" w:styleId="12">
    <w:name w:val="annotation reference"/>
    <w:basedOn w:val="11"/>
    <w:autoRedefine/>
    <w:qFormat/>
    <w:uiPriority w:val="0"/>
    <w:rPr>
      <w:sz w:val="21"/>
      <w:szCs w:val="21"/>
    </w:rPr>
  </w:style>
  <w:style w:type="paragraph" w:customStyle="1" w:styleId="13">
    <w:name w:val="Char1"/>
    <w:basedOn w:val="1"/>
    <w:autoRedefine/>
    <w:qFormat/>
    <w:uiPriority w:val="0"/>
    <w:rPr>
      <w:rFonts w:ascii="Calibri" w:hAnsi="Calibri" w:eastAsia="宋体" w:cs="Times New Roman"/>
    </w:rPr>
  </w:style>
  <w:style w:type="character" w:customStyle="1" w:styleId="14">
    <w:name w:val="页脚 字符"/>
    <w:basedOn w:val="11"/>
    <w:link w:val="6"/>
    <w:autoRedefine/>
    <w:qFormat/>
    <w:uiPriority w:val="99"/>
    <w:rPr>
      <w:rFonts w:asciiTheme="minorHAnsi" w:hAnsiTheme="minorHAnsi" w:eastAsiaTheme="minorEastAsia" w:cstheme="minorBidi"/>
      <w:kern w:val="2"/>
      <w:sz w:val="18"/>
      <w:szCs w:val="24"/>
    </w:rPr>
  </w:style>
  <w:style w:type="character" w:customStyle="1" w:styleId="15">
    <w:name w:val="批注框文本 字符"/>
    <w:basedOn w:val="11"/>
    <w:link w:val="5"/>
    <w:autoRedefine/>
    <w:qFormat/>
    <w:uiPriority w:val="0"/>
    <w:rPr>
      <w:rFonts w:asciiTheme="minorHAnsi" w:hAnsiTheme="minorHAnsi" w:eastAsiaTheme="minorEastAsia" w:cstheme="minorBidi"/>
      <w:kern w:val="2"/>
      <w:sz w:val="18"/>
      <w:szCs w:val="18"/>
    </w:rPr>
  </w:style>
  <w:style w:type="character" w:customStyle="1" w:styleId="16">
    <w:name w:val="正文文本缩进 2 字符"/>
    <w:basedOn w:val="11"/>
    <w:link w:val="4"/>
    <w:autoRedefine/>
    <w:qFormat/>
    <w:uiPriority w:val="0"/>
    <w:rPr>
      <w:rFonts w:ascii="仿宋_GB2312" w:hAnsi="宋体" w:eastAsia="仿宋_GB2312"/>
      <w:bCs/>
      <w:color w:val="000000"/>
      <w:kern w:val="44"/>
      <w:sz w:val="32"/>
    </w:rPr>
  </w:style>
  <w:style w:type="character" w:customStyle="1" w:styleId="17">
    <w:name w:val="正文文本 字符"/>
    <w:basedOn w:val="11"/>
    <w:link w:val="3"/>
    <w:autoRedefine/>
    <w:qFormat/>
    <w:uiPriority w:val="0"/>
    <w:rPr>
      <w:rFonts w:ascii="Calibri" w:hAnsi="Calibri"/>
      <w:kern w:val="2"/>
      <w:sz w:val="21"/>
      <w:szCs w:val="24"/>
    </w:rPr>
  </w:style>
  <w:style w:type="paragraph" w:customStyle="1" w:styleId="18">
    <w:name w:val="Char11"/>
    <w:basedOn w:val="1"/>
    <w:autoRedefine/>
    <w:qFormat/>
    <w:uiPriority w:val="0"/>
    <w:rPr>
      <w:rFonts w:ascii="Calibri" w:hAnsi="Calibri" w:eastAsia="宋体" w:cs="Times New Roman"/>
    </w:rPr>
  </w:style>
  <w:style w:type="paragraph" w:customStyle="1" w:styleId="19">
    <w:name w:val="Char12"/>
    <w:basedOn w:val="1"/>
    <w:autoRedefine/>
    <w:qFormat/>
    <w:uiPriority w:val="0"/>
    <w:rPr>
      <w:rFonts w:ascii="Calibri" w:hAnsi="Calibri" w:eastAsia="宋体" w:cs="Times New Roman"/>
    </w:rPr>
  </w:style>
  <w:style w:type="character" w:customStyle="1" w:styleId="20">
    <w:name w:val="批注文字 字符"/>
    <w:basedOn w:val="11"/>
    <w:link w:val="2"/>
    <w:autoRedefine/>
    <w:qFormat/>
    <w:uiPriority w:val="0"/>
    <w:rPr>
      <w:rFonts w:asciiTheme="minorHAnsi" w:hAnsiTheme="minorHAnsi" w:eastAsiaTheme="minorEastAsia" w:cstheme="minorBidi"/>
      <w:kern w:val="2"/>
      <w:sz w:val="21"/>
      <w:szCs w:val="24"/>
    </w:rPr>
  </w:style>
  <w:style w:type="character" w:customStyle="1" w:styleId="21">
    <w:name w:val="批注主题 字符"/>
    <w:basedOn w:val="20"/>
    <w:link w:val="9"/>
    <w:autoRedefine/>
    <w:qFormat/>
    <w:uiPriority w:val="0"/>
    <w:rPr>
      <w:rFonts w:asciiTheme="minorHAnsi" w:hAnsiTheme="minorHAnsi" w:eastAsiaTheme="minorEastAsia" w:cstheme="minorBidi"/>
      <w:b/>
      <w:bCs/>
      <w:kern w:val="2"/>
      <w:sz w:val="21"/>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5</Pages>
  <Words>312</Words>
  <Characters>1780</Characters>
  <Lines>14</Lines>
  <Paragraphs>4</Paragraphs>
  <TotalTime>0</TotalTime>
  <ScaleCrop>false</ScaleCrop>
  <LinksUpToDate>false</LinksUpToDate>
  <CharactersWithSpaces>2088</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2024-01-18T04:37:00Z</dcterms:created>
  <dc:creator>老曾</dc:creator>
  <cp:lastModifiedBy>杨司令宝宝</cp:lastModifiedBy>
  <cp:lastPrinted>2024-01-18T08:57:57Z</cp:lastPrinted>
  <dcterms:modified xsi:type="dcterms:W3CDTF">2024-01-18T09:57:59Z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61DC4AD9DB344C9D86F0AC9B8E09D11B_13</vt:lpwstr>
  </property>
</Properties>
</file>