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EA80E52">
      <w:pPr>
        <w:keepNext w:val="0"/>
        <w:keepLines w:val="0"/>
        <w:pageBreakBefore w:val="0"/>
        <w:widowControl w:val="0"/>
        <w:spacing w:line="640" w:lineRule="exact"/>
        <w:ind w:firstLine="2200" w:firstLineChars="500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馒头甜蜜素不合格解析</w:t>
      </w:r>
    </w:p>
    <w:p w14:paraId="47E41B4A">
      <w:pPr>
        <w:keepNext w:val="0"/>
        <w:keepLines w:val="0"/>
        <w:pageBreakBefore w:val="0"/>
        <w:spacing w:line="578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5AF1A8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甜蜜素(以环己基氨基磺酸计)</w:t>
      </w:r>
    </w:p>
    <w:p w14:paraId="3D5AC5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馒头检出甜蜜素不符合食品安全国家标准规定。甜蜜素是一种常用甜味剂，属于国家限制使用食品添加剂，其甜度是蔗糖的30-40倍。 如果消费者经常食用含有甜蜜素的馒头，会因为甜蜜素摄量过多，对人体的肝脏和神经系统造成危害，这种危害对代谢排毒较差的老人和小孩以及孕妇尤为明显。 根据我国《食品添加剂使用标准》的规定，甜蜜素不能用于制作馒头个别商家使用甜味剂来蒸馒头，主要有三个原因。</w:t>
      </w:r>
    </w:p>
    <w:p w14:paraId="1877573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一是为了节约成本，甜蜜素、糖精钠等甜味剂的甜度比普通蔗糖高出几十倍甚至几百倍，这意味着相同的成本，商家可用于制作更多的馒头；</w:t>
      </w:r>
    </w:p>
    <w:p w14:paraId="15AEB9D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二是为了迎合消费者口味，多数消费者喜甜，略带甜味的馒头更容易受到消费者青睐；</w:t>
      </w:r>
    </w:p>
    <w:p w14:paraId="43C0BBC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缺少相关知识和意识，有些商家看到别人用甜味剂改善馒头的口感销售效果不错，于是也跟着用。还有些商家对标准理解不到位，搞不清楚馒头的分类，觉得馒头和糕点差不多，糕点都能用，馒头也应该能用。</w:t>
      </w:r>
    </w:p>
    <w:bookmarkEnd w:id="0"/>
    <w:p w14:paraId="12A8DE88">
      <w:pPr>
        <w:keepNext w:val="0"/>
        <w:keepLines w:val="0"/>
        <w:pageBreakBefore w:val="0"/>
        <w:spacing w:line="578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 w:orient="landscape"/>
      <w:pgMar w:top="2098" w:right="1474" w:bottom="1984" w:left="1587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B0604020202020204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2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5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4"/>
    <w:unhideWhenUsed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basedOn w:val="30"/>
    <w:semiHidden/>
    <w:unhideWhenUsed/>
    <w:qFormat/>
    <w:uiPriority w:val="99"/>
    <w:rPr>
      <w:vertAlign w:val="superscript"/>
    </w:rPr>
  </w:style>
  <w:style w:type="character" w:styleId="32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styleId="33">
    <w:name w:val="footnote reference"/>
    <w:basedOn w:val="30"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5">
    <w:name w:val="Title Char"/>
    <w:basedOn w:val="30"/>
    <w:link w:val="27"/>
    <w:qFormat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30"/>
    <w:qFormat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basedOn w:val="28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basedOn w:val="28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basedOn w:val="28"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basedOn w:val="28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basedOn w:val="28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8E2F2" w:themeColor="accent1" w:themeTint="34" w:fill="D8E2F2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3" w:themeColor="accent1" w:themeTint="75" w:fill="A9BEE3" w:themeFill="accent1" w:themeFillTint="75"/>
      </w:tcPr>
    </w:tblStylePr>
    <w:tblStylePr w:type="band2Vert">
      <w:tblPr/>
    </w:tblStylePr>
    <w:tblStylePr w:type="band1Horz">
      <w:tblPr/>
      <w:tcPr>
        <w:shd w:val="clear" w:color="A9BEE3" w:themeColor="accent1" w:themeTint="75" w:fill="A9BEE3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2Vert">
      <w:tblPr/>
    </w:tblStylePr>
    <w:tblStylePr w:type="band1Horz">
      <w:tblPr/>
      <w:tcPr>
        <w:shd w:val="clear" w:color="F6C3A0" w:themeColor="accent2" w:themeTint="75" w:fill="F6C3A0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2Vert">
      <w:tblPr/>
    </w:tblStylePr>
    <w:tblStylePr w:type="band1Horz">
      <w:tblPr/>
      <w:tcPr>
        <w:shd w:val="clear" w:color="D5D5D5" w:themeColor="accent3" w:themeTint="75" w:fill="D5D5D5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EE289" w:themeColor="accent4" w:themeTint="75" w:fill="FEE289" w:themeFill="accent4" w:themeFillTint="75"/>
      </w:tcPr>
    </w:tblStylePr>
    <w:tblStylePr w:type="band2Vert">
      <w:tblPr/>
    </w:tblStylePr>
    <w:tblStylePr w:type="band1Horz">
      <w:tblPr/>
      <w:tcPr>
        <w:shd w:val="clear" w:color="FEE289" w:themeColor="accent4" w:themeTint="75" w:fill="FEE289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1EB" w:themeColor="accent5" w:themeTint="75" w:fill="B3D1EB" w:themeFill="accent5" w:themeFillTint="75"/>
      </w:tcPr>
    </w:tblStylePr>
    <w:tblStylePr w:type="band2Vert">
      <w:tblPr/>
    </w:tblStylePr>
    <w:tblStylePr w:type="band1Horz">
      <w:tblPr/>
      <w:tcPr>
        <w:shd w:val="clear" w:color="B3D1EB" w:themeColor="accent5" w:themeTint="75" w:fill="B3D1EB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2Vert">
      <w:tblPr/>
    </w:tblStylePr>
    <w:tblStylePr w:type="band1Horz">
      <w:tblPr/>
      <w:tcPr>
        <w:shd w:val="clear" w:color="BCDBA8" w:themeColor="accent6" w:themeTint="75" w:fill="BCDBA8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fir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lastCol">
      <w:rPr>
        <w:b/>
        <w:color w:val="A2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  <w:tblPr/>
    </w:tblStylePr>
    <w:tblStylePr w:type="firstCol">
      <w:rPr>
        <w:b/>
        <w:color w:val="245B8C" w:themeColor="accent5" w:themeShade="94"/>
      </w:rPr>
      <w:tblPr/>
    </w:tblStylePr>
    <w:tblStylePr w:type="lastCol">
      <w:rPr>
        <w:b/>
        <w:color w:val="245B8C" w:themeColor="accent5" w:themeShade="94"/>
      </w:rPr>
      <w:tblPr/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2" w:themeColor="accent1" w:themeTint="34" w:fill="D8E2F2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2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EF2CA" w:themeColor="accent4" w:themeTint="34" w:fill="FEF2CA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blPr/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blPr/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45B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blPr/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blPr/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1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FEFBE" w:themeColor="accent4" w:themeTint="40" w:fill="FFEFBE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  <w:tblPr/>
    </w:tblStylePr>
    <w:tblStylePr w:type="lastCol">
      <w:rPr>
        <w:b/>
        <w:color w:val="254174" w:themeColor="accent1" w:themeShade="94"/>
      </w:rPr>
      <w:tblPr/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basedOn w:val="28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basedOn w:val="28"/>
    <w:qFormat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blPr/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blPr/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0DBF0" w:themeColor="accent1" w:themeTint="40" w:fill="D0DBF0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54174" w:themeColor="accent1" w:themeShade="94"/>
        <w:sz w:val="22"/>
      </w:rPr>
      <w:tblPr/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basedOn w:val="28"/>
    <w:qFormat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basedOn w:val="28"/>
    <w:qFormat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basedOn w:val="28"/>
    <w:qFormat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E" w:themeColor="accent4" w:themeTint="40" w:fill="FFEFBE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basedOn w:val="28"/>
    <w:qFormat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basedOn w:val="28"/>
    <w:qFormat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basedOn w:val="28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EF2CA" w:themeColor="accent4" w:themeTint="34" w:fill="FEF2CA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basedOn w:val="28"/>
    <w:qFormat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basedOn w:val="28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basedOn w:val="28"/>
    <w:qFormat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basedOn w:val="28"/>
    <w:qFormat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28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basedOn w:val="28"/>
    <w:qFormat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basedOn w:val="28"/>
    <w:qFormat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4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basedOn w:val="28"/>
    <w:qFormat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basedOn w:val="28"/>
    <w:qFormat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EastAsia" w:cstheme="minorBidi"/>
    </w:rPr>
  </w:style>
  <w:style w:type="paragraph" w:customStyle="1" w:styleId="182">
    <w:name w:val="marklang-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customStyle="1" w:styleId="183">
    <w:name w:val="cosd-citation-citationid"/>
    <w:basedOn w:val="30"/>
    <w:qFormat/>
    <w:uiPriority w:val="0"/>
  </w:style>
  <w:style w:type="character" w:customStyle="1" w:styleId="184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5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398</Words>
  <Characters>402</Characters>
  <TotalTime>2</TotalTime>
  <ScaleCrop>false</ScaleCrop>
  <LinksUpToDate>false</LinksUpToDate>
  <CharactersWithSpaces>404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2024-11-20T03:11:00Z</dcterms:created>
  <dc:creator>Administrator</dc:creator>
  <cp:lastModifiedBy>蒲公英的自由</cp:lastModifiedBy>
  <dcterms:modified xsi:type="dcterms:W3CDTF">2024-11-29T06:20:22Z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79ED89A80FA649BD8F5F1C904EAAF84B_12</vt:lpwstr>
  </property>
</Properties>
</file>