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_GBK" w:cs="Times New Roman"/>
          <w:b w:val="0"/>
          <w:i w:val="0"/>
          <w:caps w:val="0"/>
          <w:color w:val="000000"/>
          <w:spacing w:val="0"/>
          <w:w w:val="100"/>
          <w:kern w:val="0"/>
          <w:sz w:val="44"/>
          <w:szCs w:val="44"/>
          <w:lang w:val="en-US" w:eastAsia="zh-CN"/>
        </w:rPr>
      </w:pPr>
    </w:p>
    <w:p>
      <w:pPr>
        <w:pStyle w:val="29"/>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_GBK" w:cs="Times New Roman"/>
          <w:b w:val="0"/>
          <w:i w:val="0"/>
          <w:caps w:val="0"/>
          <w:color w:val="000000"/>
          <w:spacing w:val="0"/>
          <w:w w:val="100"/>
          <w:kern w:val="0"/>
          <w:sz w:val="44"/>
          <w:szCs w:val="44"/>
          <w:lang w:val="en-US" w:eastAsia="zh-CN"/>
        </w:rPr>
      </w:pPr>
    </w:p>
    <w:p>
      <w:pPr>
        <w:pStyle w:val="29"/>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i w:val="0"/>
          <w:caps w:val="0"/>
          <w:color w:val="000000"/>
          <w:spacing w:val="0"/>
          <w:w w:val="100"/>
          <w:kern w:val="0"/>
          <w:sz w:val="44"/>
          <w:szCs w:val="44"/>
          <w:lang w:val="en-US" w:eastAsia="zh-CN"/>
        </w:rPr>
      </w:pPr>
      <w:r>
        <w:rPr>
          <w:rFonts w:hint="default" w:ascii="Times New Roman" w:hAnsi="Times New Roman" w:eastAsia="方正小标宋_GBK" w:cs="Times New Roman"/>
          <w:b w:val="0"/>
          <w:i w:val="0"/>
          <w:caps w:val="0"/>
          <w:color w:val="000000"/>
          <w:spacing w:val="0"/>
          <w:w w:val="100"/>
          <w:kern w:val="0"/>
          <w:sz w:val="44"/>
          <w:szCs w:val="44"/>
          <w:lang w:val="en-US" w:eastAsia="zh-CN"/>
        </w:rPr>
        <w:t xml:space="preserve">中共达州高新技术产业园区工作委员会 </w:t>
      </w:r>
    </w:p>
    <w:p>
      <w:pPr>
        <w:pStyle w:val="29"/>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i w:val="0"/>
          <w:caps w:val="0"/>
          <w:color w:val="000000"/>
          <w:spacing w:val="0"/>
          <w:w w:val="100"/>
          <w:kern w:val="0"/>
          <w:sz w:val="44"/>
          <w:szCs w:val="44"/>
          <w:lang w:val="en-US" w:eastAsia="zh-CN"/>
        </w:rPr>
      </w:pPr>
      <w:r>
        <w:rPr>
          <w:rFonts w:hint="default" w:ascii="Times New Roman" w:hAnsi="Times New Roman" w:eastAsia="方正小标宋_GBK" w:cs="Times New Roman"/>
          <w:b w:val="0"/>
          <w:i w:val="0"/>
          <w:caps w:val="0"/>
          <w:color w:val="000000"/>
          <w:spacing w:val="0"/>
          <w:w w:val="100"/>
          <w:kern w:val="0"/>
          <w:sz w:val="44"/>
          <w:szCs w:val="44"/>
          <w:lang w:val="en-US" w:eastAsia="zh-CN"/>
        </w:rPr>
        <w:t>达州高新技术产业园区管理委员会</w:t>
      </w:r>
    </w:p>
    <w:p>
      <w:pPr>
        <w:pStyle w:val="29"/>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i w:val="0"/>
          <w:caps w:val="0"/>
          <w:color w:val="000000"/>
          <w:spacing w:val="0"/>
          <w:w w:val="100"/>
          <w:kern w:val="0"/>
          <w:sz w:val="44"/>
          <w:szCs w:val="44"/>
          <w:lang w:val="en-US" w:eastAsia="zh-CN"/>
        </w:rPr>
      </w:pPr>
      <w:r>
        <w:rPr>
          <w:rFonts w:hint="default" w:ascii="Times New Roman" w:hAnsi="Times New Roman" w:eastAsia="方正小标宋_GBK" w:cs="Times New Roman"/>
          <w:b w:val="0"/>
          <w:i w:val="0"/>
          <w:caps w:val="0"/>
          <w:color w:val="000000"/>
          <w:spacing w:val="0"/>
          <w:w w:val="100"/>
          <w:kern w:val="0"/>
          <w:sz w:val="44"/>
          <w:szCs w:val="44"/>
          <w:lang w:val="en-US" w:eastAsia="zh-CN"/>
        </w:rPr>
        <w:t>关于加快构建“3+5”现代服务业体系</w:t>
      </w:r>
    </w:p>
    <w:p>
      <w:pPr>
        <w:pStyle w:val="29"/>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i w:val="0"/>
          <w:caps w:val="0"/>
          <w:color w:val="000000"/>
          <w:spacing w:val="0"/>
          <w:w w:val="100"/>
          <w:kern w:val="0"/>
          <w:sz w:val="44"/>
          <w:szCs w:val="44"/>
          <w:lang w:val="en-US" w:eastAsia="zh-CN"/>
        </w:rPr>
      </w:pPr>
      <w:r>
        <w:rPr>
          <w:rFonts w:hint="default" w:ascii="Times New Roman" w:hAnsi="Times New Roman" w:eastAsia="方正小标宋_GBK" w:cs="Times New Roman"/>
          <w:b w:val="0"/>
          <w:i w:val="0"/>
          <w:caps w:val="0"/>
          <w:color w:val="000000"/>
          <w:spacing w:val="0"/>
          <w:w w:val="100"/>
          <w:kern w:val="0"/>
          <w:sz w:val="44"/>
          <w:szCs w:val="44"/>
          <w:lang w:val="en-US" w:eastAsia="zh-CN"/>
        </w:rPr>
        <w:t>推动服务业高质量发展的实施意见</w:t>
      </w:r>
    </w:p>
    <w:p>
      <w:pPr>
        <w:pStyle w:val="29"/>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Times New Roman" w:hAnsi="Times New Roman" w:eastAsia="仿宋_GB2312" w:cs="Times New Roman"/>
          <w:bCs/>
          <w:color w:val="000000"/>
          <w:kern w:val="2"/>
          <w:sz w:val="32"/>
          <w:szCs w:val="32"/>
          <w:lang w:val="en-US" w:eastAsia="zh-CN" w:bidi="ar-SA"/>
        </w:rPr>
      </w:pPr>
    </w:p>
    <w:p>
      <w:pPr>
        <w:rPr>
          <w:rFonts w:hint="default"/>
          <w:lang w:val="en-US" w:eastAsia="zh-CN"/>
        </w:rPr>
      </w:pPr>
    </w:p>
    <w:p>
      <w:pPr>
        <w:pStyle w:val="29"/>
        <w:keepNext w:val="0"/>
        <w:keepLines w:val="0"/>
        <w:pageBreakBefore w:val="0"/>
        <w:widowControl w:val="0"/>
        <w:kinsoku/>
        <w:wordWrap/>
        <w:overflowPunct/>
        <w:topLinePunct w:val="0"/>
        <w:autoSpaceDE/>
        <w:autoSpaceDN/>
        <w:bidi w:val="0"/>
        <w:adjustRightInd/>
        <w:snapToGrid/>
        <w:spacing w:beforeAutospacing="0" w:afterAutospacing="0" w:line="574"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各乡（镇、街道）党（工）委和人民政府（办事处），区级各部门（单位）：</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74"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为认真贯彻落实《中共四川省委 四川省人民政府关于加快构建“4+6”现代服务业体系推动服务业高质量发展的意见》（川委发〔2020〕10号）和《中共达州市委 达州市人民政府关于加快构建“5+5”现代服务业体系推动服务业高质量发展的实施意见》（达市委发〔2020〕6号）精神，结合高新区实际，现就加快服务业高质量发展提出如下实施意见。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210" w:leftChars="0" w:firstLine="320" w:firstLineChars="1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100" w:firstLine="321" w:firstLineChars="100"/>
        <w:textAlignment w:val="auto"/>
        <w:rPr>
          <w:rFonts w:hint="default" w:ascii="Times New Roman" w:hAnsi="Times New Roman" w:eastAsia="方正楷体简体" w:cs="Times New Roman"/>
          <w:b/>
          <w:bCs/>
          <w:color w:val="000000"/>
          <w:sz w:val="32"/>
          <w:szCs w:val="32"/>
          <w:lang w:val="en-US" w:eastAsia="zh-CN"/>
        </w:rPr>
      </w:pPr>
      <w:r>
        <w:rPr>
          <w:rFonts w:hint="default" w:ascii="Times New Roman" w:hAnsi="Times New Roman" w:eastAsia="方正楷体简体" w:cs="Times New Roman"/>
          <w:b/>
          <w:bCs/>
          <w:color w:val="00000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坚持以习近平新时代中国特色社会主义思想为指导，深入贯</w:t>
      </w:r>
      <w:r>
        <w:rPr>
          <w:rFonts w:hint="default" w:ascii="Times New Roman" w:hAnsi="Times New Roman" w:eastAsia="仿宋_GB2312" w:cs="Times New Roman"/>
          <w:color w:val="000000"/>
          <w:w w:val="102"/>
          <w:kern w:val="2"/>
          <w:sz w:val="32"/>
          <w:szCs w:val="32"/>
          <w:lang w:val="en-US" w:eastAsia="zh-CN" w:bidi="ar-SA"/>
        </w:rPr>
        <w:t>彻落实党的十九大和十九届历次全会、省委十一届历次全会、市</w:t>
      </w:r>
      <w:r>
        <w:rPr>
          <w:rFonts w:hint="default" w:ascii="Times New Roman" w:hAnsi="Times New Roman" w:eastAsia="仿宋_GB2312" w:cs="Times New Roman"/>
          <w:color w:val="000000"/>
          <w:kern w:val="2"/>
          <w:sz w:val="32"/>
          <w:szCs w:val="32"/>
          <w:lang w:val="en-US" w:eastAsia="zh-CN" w:bidi="ar-SA"/>
        </w:rPr>
        <w:t>第五次党代会及市委五届二次全会精神，准确、完整、全面把握新发展阶段，贯彻新发展理念，抢抓成渝地区双城经济圈、万达开川渝统筹发展示范区建设等国家战略叠加，商贸服务型国家物流枢纽承载城市、中国（四川）自由贸易试验区达州协同改革先行区等国、省平台落地铺开的政策机遇，全面落实市委“157”总体部署，深入实施高新区“12345”发展战略，以改革开放为动力，以供给侧结构性改革为主线，突出重点领域和关键环节，加快构建具有高新区特色的“3+5”现代服务业体系（即现代物流、商业贸易、科技研发和数据服务三大支柱型服务业，人力资源与教育培训服务、金融服务、商务服务、餐饮服务、文化旅游五大成长型服务业），坚持强优势、补短板、拓领域，推动全区现代服务业加快发展、创新发展、高质量发展，实现指标上台阶、创高增亮点，为高新区建设万达开区域创新中心主引擎，打造西部高新技术产业集聚新高地，成功创建国家高新区提供有力支撑。</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方正楷体简体" w:cs="Times New Roman"/>
          <w:b/>
          <w:bCs/>
          <w:color w:val="000000"/>
          <w:kern w:val="2"/>
          <w:sz w:val="32"/>
          <w:szCs w:val="32"/>
          <w:lang w:val="en-US" w:eastAsia="zh-CN" w:bidi="ar-SA"/>
        </w:rPr>
      </w:pPr>
      <w:r>
        <w:rPr>
          <w:rFonts w:hint="default" w:ascii="Times New Roman" w:hAnsi="Times New Roman" w:eastAsia="方正楷体简体" w:cs="Times New Roman"/>
          <w:b/>
          <w:bCs/>
          <w:color w:val="000000"/>
          <w:kern w:val="2"/>
          <w:sz w:val="32"/>
          <w:szCs w:val="32"/>
          <w:lang w:val="en-US" w:eastAsia="zh-CN" w:bidi="ar-SA"/>
        </w:rPr>
        <w:t>（二）基本原则</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rPr>
        <w:t>1.做大总量，提升质量。</w:t>
      </w:r>
      <w:r>
        <w:rPr>
          <w:rFonts w:hint="default" w:ascii="Times New Roman" w:hAnsi="Times New Roman" w:eastAsia="仿宋_GB2312" w:cs="Times New Roman"/>
          <w:color w:val="000000"/>
          <w:kern w:val="2"/>
          <w:sz w:val="32"/>
          <w:szCs w:val="32"/>
          <w:lang w:val="en-US" w:eastAsia="zh-CN" w:bidi="ar-SA"/>
        </w:rPr>
        <w:t>针对高新区服务业总量偏小的客观实际，结合高新区“十四五”经济社会发展的总体要求，进一步拓展服务业领域，扩大总量规模，实现服务业的高质化和现代化。</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rPr>
        <w:t>2.产城融合，良性互动。</w:t>
      </w:r>
      <w:r>
        <w:rPr>
          <w:rFonts w:hint="default" w:ascii="Times New Roman" w:hAnsi="Times New Roman" w:eastAsia="仿宋_GB2312" w:cs="Times New Roman"/>
          <w:color w:val="000000"/>
          <w:kern w:val="2"/>
          <w:sz w:val="32"/>
          <w:szCs w:val="32"/>
          <w:lang w:val="en-US" w:eastAsia="zh-CN" w:bidi="ar-SA"/>
        </w:rPr>
        <w:t>依托新城新区建设将现代服务业发展融合于“一带两区多园”，坚持产业联动发展，推动形成先进制造业与现代服务业深度融合、互为支撑、互动共赢的新格局。</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rPr>
        <w:t>3.政府引导，市场主体。</w:t>
      </w:r>
      <w:r>
        <w:rPr>
          <w:rFonts w:hint="default" w:ascii="Times New Roman" w:hAnsi="Times New Roman" w:eastAsia="仿宋_GB2312" w:cs="Times New Roman"/>
          <w:color w:val="000000"/>
          <w:kern w:val="2"/>
          <w:sz w:val="32"/>
          <w:szCs w:val="32"/>
          <w:lang w:val="en-US" w:eastAsia="zh-CN" w:bidi="ar-SA"/>
        </w:rPr>
        <w:t>充分发挥市场在资源配置中的决定性作用，积极稳妥推进服务业市场化改革开放，营造公平竞争环境。更好发挥政府的引导、协调和保障作用，深化服务业领域行政审批制度改革，加大政府购买服务力度，健全服务业发展各项支持政策。</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cs="Times New Roman"/>
          <w:color w:val="00000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rPr>
        <w:t>4.创新引领，共享发展。</w:t>
      </w:r>
      <w:r>
        <w:rPr>
          <w:rFonts w:hint="default" w:ascii="Times New Roman" w:hAnsi="Times New Roman" w:eastAsia="仿宋_GB2312" w:cs="Times New Roman"/>
          <w:color w:val="000000"/>
          <w:kern w:val="2"/>
          <w:sz w:val="32"/>
          <w:szCs w:val="32"/>
          <w:lang w:val="en-US" w:eastAsia="zh-CN" w:bidi="ar-SA"/>
        </w:rPr>
        <w:t>充分应用现代信息和网络技术，集聚各类创新资源，加强技术创新、管理创新和运行模式创新，发展新型服务业态。以“互联网+”战略推动服务业共享发展，重点打造各类共享平台、“大数据”库，大力拓展线上、线下两个市场，进一步提高服务效率和质量。</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方正楷体简体" w:cs="Times New Roman"/>
          <w:color w:val="000000"/>
          <w:kern w:val="2"/>
          <w:sz w:val="32"/>
          <w:szCs w:val="32"/>
          <w:lang w:val="en-US" w:eastAsia="zh-CN" w:bidi="ar-SA"/>
        </w:rPr>
        <w:t>（三）主要目标。</w:t>
      </w:r>
      <w:r>
        <w:rPr>
          <w:rFonts w:hint="default" w:ascii="Times New Roman" w:hAnsi="Times New Roman" w:eastAsia="仿宋_GB2312" w:cs="Times New Roman"/>
          <w:color w:val="000000"/>
          <w:kern w:val="2"/>
          <w:sz w:val="32"/>
          <w:szCs w:val="32"/>
          <w:lang w:val="en-US" w:eastAsia="zh-CN" w:bidi="ar-SA"/>
        </w:rPr>
        <w:t>全区服务业结构更加优化，产业体系逐步健全，供给质量明显提升，高质量发展取得显著成效，培育和建设一批知名服务业企业。力争到2025年，全区服务业增加值年均增速15%以上，总量突破35亿元，“3+5”重点行业增加值占全区服务业增加值的比重达80 %以上，生产性服务业占全区服务业增加值的比重达60%以上。</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left="210" w:leftChars="0" w:firstLine="320" w:firstLineChars="100"/>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二、重点任务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left="210" w:leftChars="0" w:firstLine="321" w:firstLineChars="100"/>
        <w:textAlignment w:val="auto"/>
        <w:rPr>
          <w:rFonts w:hint="default" w:ascii="Times New Roman" w:hAnsi="Times New Roman" w:eastAsia="方正楷体简体" w:cs="Times New Roman"/>
          <w:b/>
          <w:bCs/>
          <w:color w:val="000000"/>
          <w:kern w:val="2"/>
          <w:sz w:val="32"/>
          <w:szCs w:val="32"/>
          <w:lang w:val="en-US" w:eastAsia="zh-CN" w:bidi="ar-SA"/>
        </w:rPr>
      </w:pPr>
      <w:r>
        <w:rPr>
          <w:rFonts w:hint="default" w:ascii="Times New Roman" w:hAnsi="Times New Roman" w:eastAsia="方正楷体简体" w:cs="Times New Roman"/>
          <w:b/>
          <w:bCs/>
          <w:color w:val="000000"/>
          <w:kern w:val="2"/>
          <w:sz w:val="32"/>
          <w:szCs w:val="32"/>
          <w:lang w:val="en-US" w:eastAsia="zh-CN" w:bidi="ar-SA"/>
        </w:rPr>
        <w:t>（一）推动三大支柱型服务业转型升级</w:t>
      </w:r>
    </w:p>
    <w:p>
      <w:pPr>
        <w:keepNext w:val="0"/>
        <w:keepLines w:val="0"/>
        <w:pageBreakBefore w:val="0"/>
        <w:widowControl w:val="0"/>
        <w:kinsoku/>
        <w:wordWrap/>
        <w:overflowPunct w:val="0"/>
        <w:topLinePunct w:val="0"/>
        <w:autoSpaceDE/>
        <w:autoSpaceDN/>
        <w:bidi w:val="0"/>
        <w:adjustRightInd/>
        <w:spacing w:line="574"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rPr>
        <w:t>1.提</w:t>
      </w:r>
      <w:r>
        <w:rPr>
          <w:rFonts w:hint="eastAsia" w:ascii="仿宋_GB2312" w:hAnsi="仿宋_GB2312" w:eastAsia="仿宋_GB2312" w:cs="仿宋_GB2312"/>
          <w:b/>
          <w:bCs/>
          <w:snapToGrid w:val="0"/>
          <w:color w:val="000000"/>
          <w:kern w:val="0"/>
          <w:sz w:val="32"/>
          <w:szCs w:val="32"/>
          <w:lang w:val="en-US" w:eastAsia="zh-CN"/>
        </w:rPr>
        <w:t>质发展现代物流。</w:t>
      </w:r>
      <w:r>
        <w:rPr>
          <w:rFonts w:hint="default" w:ascii="Times New Roman" w:hAnsi="Times New Roman" w:eastAsia="仿宋_GB2312" w:cs="Times New Roman"/>
          <w:color w:val="000000"/>
          <w:kern w:val="2"/>
          <w:sz w:val="32"/>
          <w:szCs w:val="32"/>
          <w:lang w:val="en-US" w:eastAsia="zh-CN" w:bidi="ar-SA"/>
        </w:rPr>
        <w:t>充分发挥交通和区位优势，大力推进物流体系建设，力争到2025年，实现物流业增加值10亿元，社会物流总费用占GDP比重下降到14%以下，成功创建国家示范物流园区。</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rPr>
        <w:t>（1）培引支撑性物流企业。</w:t>
      </w:r>
      <w:r>
        <w:rPr>
          <w:rFonts w:hint="default" w:ascii="Times New Roman" w:hAnsi="Times New Roman" w:eastAsia="仿宋_GB2312" w:cs="Times New Roman"/>
          <w:color w:val="000000"/>
          <w:kern w:val="2"/>
          <w:sz w:val="32"/>
          <w:szCs w:val="32"/>
          <w:lang w:val="en-US" w:eastAsia="zh-CN" w:bidi="ar-SA"/>
        </w:rPr>
        <w:t>按照“3+1”产业体系布局，编制园区物流产业规划，高效推进全区物流业发展，力争新培育营业收入超亿元物流企业10家以上，5家3A级、2家4A级、1家5A级物流企业。积极引进京东物流、顺丰控股、中国邮政等自带资源型中国物流企业50强、民营物流企业50强物流企业以及新成立的中国物流集团、蜀道物流集团等国内物流行业龙头落户高新区，设立区域集散分拨基地。大力支持秦巴无水港、达运公路物流港、四川路海国际、达竹物流、瓮福物流等区域内实力较强的本土物流龙头企业实现资源互补和强强联合，加快组建合资公司，壮大自身体量，增强市场竞争力、影响力。</w:t>
      </w:r>
    </w:p>
    <w:p>
      <w:pPr>
        <w:pStyle w:val="4"/>
        <w:keepNext w:val="0"/>
        <w:keepLines w:val="0"/>
        <w:pageBreakBefore w:val="0"/>
        <w:widowControl w:val="0"/>
        <w:kinsoku/>
        <w:wordWrap/>
        <w:topLinePunct w:val="0"/>
        <w:autoSpaceDE/>
        <w:autoSpaceDN/>
        <w:bidi w:val="0"/>
        <w:adjustRightInd/>
        <w:spacing w:line="574" w:lineRule="exact"/>
        <w:ind w:firstLine="619" w:firstLineChars="200"/>
        <w:textAlignment w:val="auto"/>
        <w:rPr>
          <w:rFonts w:hint="default" w:ascii="Times New Roman" w:hAnsi="Times New Roman" w:eastAsia="仿宋_GB2312" w:cs="Times New Roman"/>
          <w:bCs w:val="0"/>
          <w:color w:val="000000"/>
          <w:kern w:val="2"/>
          <w:sz w:val="32"/>
          <w:szCs w:val="32"/>
          <w:u w:val="none"/>
          <w:lang w:val="en-US" w:eastAsia="zh-CN" w:bidi="ar-SA"/>
        </w:rPr>
      </w:pPr>
      <w:r>
        <w:rPr>
          <w:rFonts w:hint="default" w:ascii="Times New Roman" w:hAnsi="Times New Roman" w:eastAsia="仿宋_GB2312" w:cs="Times New Roman"/>
          <w:b/>
          <w:bCs/>
          <w:snapToGrid w:val="0"/>
          <w:color w:val="000000"/>
          <w:spacing w:val="-6"/>
          <w:kern w:val="0"/>
          <w:sz w:val="32"/>
          <w:szCs w:val="32"/>
          <w:lang w:val="en-US" w:eastAsia="zh-CN"/>
        </w:rPr>
        <w:t>（2）建设区域综合物流枢纽。</w:t>
      </w:r>
      <w:r>
        <w:rPr>
          <w:rFonts w:hint="default" w:ascii="Times New Roman" w:hAnsi="Times New Roman" w:eastAsia="仿宋_GB2312" w:cs="Times New Roman"/>
          <w:bCs w:val="0"/>
          <w:color w:val="000000"/>
          <w:kern w:val="2"/>
          <w:sz w:val="32"/>
          <w:szCs w:val="32"/>
          <w:u w:val="none"/>
          <w:lang w:val="en-US" w:eastAsia="zh-CN" w:bidi="ar-SA"/>
        </w:rPr>
        <w:t>加快构建“一核两翼”［“一核”即秦巴物流园区；“两翼”即木瓜铺公路物流港、空铁物流产业园］物流格局，全力打造公铁水空立体物流网络体系。加快建设达州国际多式联运基地、商贸服务型国家物流枢纽物流公共信息平台等国家物流枢纽重点项目，引进和建设一批重点物流产业项目，推动西部物流谷、中国邮政集团川陕渝结合部快递物流园等项目建成投运。积极配合达州保税物流中心（B型）、铁路口岸、航空口岸申创工作。</w:t>
      </w:r>
      <w:bookmarkStart w:id="0" w:name="_Toc71815011"/>
      <w:bookmarkStart w:id="1" w:name="_Toc84862084"/>
      <w:bookmarkStart w:id="2" w:name="_Toc66706142"/>
      <w:bookmarkStart w:id="3" w:name="_Toc66647572"/>
      <w:bookmarkStart w:id="4" w:name="_Toc28775"/>
      <w:bookmarkStart w:id="5" w:name="_Toc63536862"/>
      <w:bookmarkStart w:id="6" w:name="_Toc6993"/>
      <w:bookmarkStart w:id="7" w:name="_Toc41657329"/>
      <w:bookmarkStart w:id="8" w:name="_Toc62989348"/>
      <w:bookmarkStart w:id="9" w:name="_Toc4521"/>
    </w:p>
    <w:bookmarkEnd w:id="0"/>
    <w:bookmarkEnd w:id="1"/>
    <w:bookmarkEnd w:id="2"/>
    <w:bookmarkEnd w:id="3"/>
    <w:bookmarkEnd w:id="4"/>
    <w:bookmarkEnd w:id="5"/>
    <w:bookmarkEnd w:id="6"/>
    <w:bookmarkEnd w:id="7"/>
    <w:bookmarkEnd w:id="8"/>
    <w:bookmarkEnd w:id="9"/>
    <w:p>
      <w:pPr>
        <w:pStyle w:val="4"/>
        <w:keepNext w:val="0"/>
        <w:keepLines w:val="0"/>
        <w:pageBreakBefore w:val="0"/>
        <w:widowControl w:val="0"/>
        <w:kinsoku/>
        <w:wordWrap/>
        <w:topLinePunct w:val="0"/>
        <w:autoSpaceDE/>
        <w:autoSpaceDN/>
        <w:bidi w:val="0"/>
        <w:adjustRightInd/>
        <w:spacing w:line="574" w:lineRule="exact"/>
        <w:ind w:firstLine="619" w:firstLineChars="200"/>
        <w:textAlignment w:val="auto"/>
        <w:rPr>
          <w:rFonts w:hint="default" w:ascii="Times New Roman" w:hAnsi="Times New Roman" w:eastAsia="仿宋_GB2312" w:cs="Times New Roman"/>
          <w:bCs w:val="0"/>
          <w:color w:val="000000"/>
          <w:kern w:val="2"/>
          <w:sz w:val="32"/>
          <w:szCs w:val="32"/>
          <w:u w:val="none"/>
          <w:lang w:val="en-US" w:eastAsia="zh-CN" w:bidi="ar-SA"/>
        </w:rPr>
      </w:pPr>
      <w:r>
        <w:rPr>
          <w:rFonts w:hint="default" w:ascii="Times New Roman" w:hAnsi="Times New Roman" w:eastAsia="仿宋_GB2312" w:cs="Times New Roman"/>
          <w:b/>
          <w:bCs/>
          <w:snapToGrid w:val="0"/>
          <w:color w:val="000000"/>
          <w:spacing w:val="-6"/>
          <w:kern w:val="0"/>
          <w:sz w:val="32"/>
          <w:szCs w:val="32"/>
          <w:lang w:val="en-US" w:eastAsia="zh-CN"/>
        </w:rPr>
        <w:t>（3）降低企业物流成本。</w:t>
      </w:r>
      <w:r>
        <w:rPr>
          <w:rFonts w:hint="default" w:ascii="Times New Roman" w:hAnsi="Times New Roman" w:eastAsia="仿宋_GB2312" w:cs="Times New Roman"/>
          <w:bCs w:val="0"/>
          <w:color w:val="000000"/>
          <w:kern w:val="2"/>
          <w:sz w:val="32"/>
          <w:szCs w:val="32"/>
          <w:u w:val="none"/>
          <w:lang w:val="en-US" w:eastAsia="zh-CN" w:bidi="ar-SA"/>
        </w:rPr>
        <w:t>充分发挥四川东出铁水联运班列、西部陆海新通道达州班列、中欧班列达州专列三大主通道运输优势，探索开行新材料班列等特色班列，实现班列的常态化、优质高效运行，切实构建“货畅秦巴、物通四海”的物流体系。持续高</w:t>
      </w:r>
      <w:r>
        <w:rPr>
          <w:rFonts w:hint="default" w:ascii="Times New Roman" w:hAnsi="Times New Roman" w:eastAsia="仿宋_GB2312" w:cs="Times New Roman"/>
          <w:bCs w:val="0"/>
          <w:color w:val="000000"/>
          <w:w w:val="102"/>
          <w:kern w:val="2"/>
          <w:sz w:val="32"/>
          <w:szCs w:val="32"/>
          <w:u w:val="none"/>
          <w:lang w:val="en-US" w:eastAsia="zh-CN" w:bidi="ar-SA"/>
        </w:rPr>
        <w:t>效运行电子信息产品物流专线</w:t>
      </w:r>
      <w:r>
        <w:rPr>
          <w:rFonts w:hint="eastAsia" w:eastAsia="仿宋_GB2312" w:cs="Times New Roman"/>
          <w:bCs w:val="0"/>
          <w:color w:val="000000"/>
          <w:w w:val="102"/>
          <w:kern w:val="2"/>
          <w:sz w:val="32"/>
          <w:szCs w:val="32"/>
          <w:u w:val="none"/>
          <w:lang w:val="en-US" w:eastAsia="zh-CN" w:bidi="ar-SA"/>
        </w:rPr>
        <w:t>，</w:t>
      </w:r>
      <w:r>
        <w:rPr>
          <w:rFonts w:hint="default" w:ascii="Times New Roman" w:hAnsi="Times New Roman" w:eastAsia="仿宋_GB2312" w:cs="Times New Roman"/>
          <w:bCs w:val="0"/>
          <w:color w:val="000000"/>
          <w:w w:val="102"/>
          <w:kern w:val="2"/>
          <w:sz w:val="32"/>
          <w:szCs w:val="32"/>
          <w:u w:val="none"/>
          <w:lang w:val="en-US" w:eastAsia="zh-CN" w:bidi="ar-SA"/>
        </w:rPr>
        <w:t>鼓励园区工业企业实行物流外包</w:t>
      </w:r>
      <w:r>
        <w:rPr>
          <w:rFonts w:hint="default" w:ascii="Times New Roman" w:hAnsi="Times New Roman" w:eastAsia="仿宋_GB2312" w:cs="Times New Roman"/>
          <w:bCs w:val="0"/>
          <w:color w:val="000000"/>
          <w:kern w:val="2"/>
          <w:sz w:val="32"/>
          <w:szCs w:val="32"/>
          <w:u w:val="none"/>
          <w:lang w:val="en-US" w:eastAsia="zh-CN" w:bidi="ar-SA"/>
        </w:rPr>
        <w:t>，为企业提供个性化物流解决方案，新开通2条以上工业产品物流专线，确保企业物流成本降低40%以上。加快城乡物流配送体系和快递公共末端设施建设，有效畅通配送“最后一公里”，完善农村配送网络，创新绿色低碳、集约高效的配送模式，推动工业品“下乡”、农产品“进城”双向平衡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rPr>
        <w:t>2.突破发展商业贸易。</w:t>
      </w:r>
      <w:r>
        <w:rPr>
          <w:rFonts w:hint="default" w:ascii="Times New Roman" w:hAnsi="Times New Roman" w:eastAsia="仿宋_GB2312" w:cs="Times New Roman"/>
          <w:color w:val="000000"/>
          <w:kern w:val="2"/>
          <w:sz w:val="32"/>
          <w:szCs w:val="32"/>
          <w:lang w:val="en-US" w:eastAsia="zh-CN" w:bidi="ar-SA"/>
        </w:rPr>
        <w:t>突出民生导向，规划建设专业市场，将扩大投资与提振消费有效结合，增强投资优化供给结构作用，发挥消费对经济增长的拉动作用，形成需求牵引供给、供给创造需求的高水平动态平衡。力争到2025年，商业贸易增加值实现10亿元。</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方正仿宋简体" w:cs="Times New Roman"/>
          <w:b/>
          <w:bCs/>
          <w:color w:val="000000"/>
          <w:sz w:val="32"/>
          <w:szCs w:val="32"/>
          <w:lang w:val="en-US" w:eastAsia="zh-CN"/>
        </w:rPr>
        <w:t>（1）布局消费载体。</w:t>
      </w:r>
      <w:r>
        <w:rPr>
          <w:rFonts w:hint="default" w:ascii="Times New Roman" w:hAnsi="Times New Roman" w:eastAsia="仿宋_GB2312" w:cs="Times New Roman"/>
          <w:color w:val="000000"/>
          <w:kern w:val="2"/>
          <w:sz w:val="32"/>
          <w:szCs w:val="32"/>
          <w:lang w:val="en-US" w:eastAsia="zh-CN" w:bidi="ar-SA"/>
        </w:rPr>
        <w:t>在三中心组团范围内规划建设1个商业综合体，打造1—2条特色商业街，规划建设1个进口商品展示展销中心，在长田组团、堰坝组团、河东组团、蔡坪棚改片区引进世纪隆等知名商超企业布局10个左右的商超网点，升级改造域内乡镇农贸市场，全力完善域内消费载体。</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51" w:firstLineChars="200"/>
        <w:textAlignment w:val="auto"/>
        <w:rPr>
          <w:rFonts w:hint="default" w:ascii="Times New Roman" w:hAnsi="Times New Roman" w:eastAsia="仿宋_GB2312" w:cs="Times New Roman"/>
          <w:color w:val="000000"/>
          <w:spacing w:val="-6"/>
          <w:w w:val="98"/>
          <w:kern w:val="2"/>
          <w:sz w:val="32"/>
          <w:szCs w:val="32"/>
          <w:lang w:val="en-US" w:eastAsia="zh-CN" w:bidi="ar-SA"/>
        </w:rPr>
      </w:pPr>
      <w:r>
        <w:rPr>
          <w:rFonts w:hint="default" w:ascii="Times New Roman" w:hAnsi="Times New Roman" w:eastAsia="仿宋" w:cs="Times New Roman"/>
          <w:b/>
          <w:bCs/>
          <w:color w:val="000000"/>
          <w:spacing w:val="-6"/>
          <w:w w:val="105"/>
          <w:sz w:val="32"/>
          <w:szCs w:val="32"/>
          <w:lang w:val="en-US" w:eastAsia="zh-CN"/>
        </w:rPr>
        <w:t>（2）</w:t>
      </w:r>
      <w:r>
        <w:rPr>
          <w:rFonts w:hint="eastAsia" w:ascii="仿宋_GB2312" w:hAnsi="仿宋_GB2312" w:eastAsia="仿宋_GB2312" w:cs="仿宋_GB2312"/>
          <w:b/>
          <w:bCs/>
          <w:color w:val="000000"/>
          <w:spacing w:val="-6"/>
          <w:w w:val="105"/>
          <w:sz w:val="32"/>
          <w:szCs w:val="32"/>
          <w:lang w:val="en-US" w:eastAsia="zh-CN"/>
        </w:rPr>
        <w:t>创新消费业态。</w:t>
      </w:r>
      <w:r>
        <w:rPr>
          <w:rFonts w:hint="eastAsia" w:ascii="仿宋_GB2312" w:hAnsi="仿宋_GB2312" w:eastAsia="仿宋_GB2312" w:cs="仿宋_GB2312"/>
          <w:b w:val="0"/>
          <w:bCs w:val="0"/>
          <w:color w:val="000000"/>
          <w:spacing w:val="-6"/>
          <w:w w:val="100"/>
          <w:sz w:val="32"/>
          <w:szCs w:val="32"/>
          <w:lang w:val="en-US" w:eastAsia="zh-CN"/>
        </w:rPr>
        <w:t>支持传统商贸企业电商化改造，</w:t>
      </w:r>
      <w:r>
        <w:rPr>
          <w:rFonts w:hint="eastAsia" w:ascii="仿宋_GB2312" w:hAnsi="仿宋_GB2312" w:eastAsia="仿宋_GB2312" w:cs="仿宋_GB2312"/>
          <w:color w:val="000000"/>
          <w:spacing w:val="-6"/>
          <w:w w:val="100"/>
          <w:kern w:val="2"/>
          <w:sz w:val="32"/>
          <w:szCs w:val="32"/>
          <w:lang w:val="en-US" w:eastAsia="zh-CN" w:bidi="ar-SA"/>
        </w:rPr>
        <w:t>搭建</w:t>
      </w:r>
      <w:r>
        <w:rPr>
          <w:rFonts w:hint="default" w:ascii="Times New Roman" w:hAnsi="Times New Roman" w:eastAsia="仿宋_GB2312" w:cs="Times New Roman"/>
          <w:color w:val="000000"/>
          <w:spacing w:val="-6"/>
          <w:w w:val="98"/>
          <w:kern w:val="2"/>
          <w:sz w:val="32"/>
          <w:szCs w:val="32"/>
          <w:lang w:val="en-US" w:eastAsia="zh-CN" w:bidi="ar-SA"/>
        </w:rPr>
        <w:t>O2O综合第三</w:t>
      </w:r>
      <w:r>
        <w:rPr>
          <w:rFonts w:hint="eastAsia" w:ascii="仿宋_GB2312" w:hAnsi="仿宋_GB2312" w:eastAsia="仿宋_GB2312" w:cs="仿宋_GB2312"/>
          <w:color w:val="000000"/>
          <w:spacing w:val="-6"/>
          <w:w w:val="98"/>
          <w:kern w:val="2"/>
          <w:sz w:val="32"/>
          <w:szCs w:val="32"/>
          <w:lang w:val="en-US" w:eastAsia="zh-CN" w:bidi="ar-SA"/>
        </w:rPr>
        <w:t>方电子商务平台，推动传统商贸企业转型线</w:t>
      </w:r>
      <w:r>
        <w:rPr>
          <w:rFonts w:hint="default" w:ascii="Times New Roman" w:hAnsi="Times New Roman" w:eastAsia="仿宋_GB2312" w:cs="Times New Roman"/>
          <w:color w:val="000000"/>
          <w:spacing w:val="-6"/>
          <w:w w:val="98"/>
          <w:kern w:val="2"/>
          <w:sz w:val="32"/>
          <w:szCs w:val="32"/>
          <w:lang w:val="en-US" w:eastAsia="zh-CN" w:bidi="ar-SA"/>
        </w:rPr>
        <w:t>上、平</w:t>
      </w:r>
      <w:r>
        <w:rPr>
          <w:rFonts w:hint="default" w:ascii="Times New Roman" w:hAnsi="Times New Roman" w:eastAsia="仿宋_GB2312" w:cs="Times New Roman"/>
          <w:color w:val="000000"/>
          <w:spacing w:val="-6"/>
          <w:w w:val="105"/>
          <w:kern w:val="2"/>
          <w:sz w:val="32"/>
          <w:szCs w:val="32"/>
          <w:lang w:val="en-US" w:eastAsia="zh-CN" w:bidi="ar-SA"/>
        </w:rPr>
        <w:t>台</w:t>
      </w:r>
      <w:r>
        <w:rPr>
          <w:rFonts w:hint="default" w:ascii="Times New Roman" w:hAnsi="Times New Roman" w:eastAsia="仿宋_GB2312" w:cs="Times New Roman"/>
          <w:color w:val="000000"/>
          <w:spacing w:val="-6"/>
          <w:w w:val="98"/>
          <w:kern w:val="2"/>
          <w:sz w:val="32"/>
          <w:szCs w:val="32"/>
          <w:lang w:val="en-US" w:eastAsia="zh-CN" w:bidi="ar-SA"/>
        </w:rPr>
        <w:t>企业布局线下。依托</w:t>
      </w:r>
      <w:r>
        <w:rPr>
          <w:rFonts w:hint="eastAsia" w:eastAsia="仿宋_GB2312" w:cs="Times New Roman"/>
          <w:color w:val="000000"/>
          <w:spacing w:val="-6"/>
          <w:w w:val="98"/>
          <w:kern w:val="2"/>
          <w:sz w:val="32"/>
          <w:szCs w:val="32"/>
          <w:lang w:val="en-US" w:eastAsia="zh-CN" w:bidi="ar-SA"/>
        </w:rPr>
        <w:t>“</w:t>
      </w:r>
      <w:r>
        <w:rPr>
          <w:rFonts w:hint="default" w:ascii="Times New Roman" w:hAnsi="Times New Roman" w:eastAsia="仿宋_GB2312" w:cs="Times New Roman"/>
          <w:color w:val="000000"/>
          <w:spacing w:val="-6"/>
          <w:w w:val="98"/>
          <w:kern w:val="2"/>
          <w:sz w:val="32"/>
          <w:szCs w:val="32"/>
          <w:lang w:val="en-US" w:eastAsia="zh-CN" w:bidi="ar-SA"/>
        </w:rPr>
        <w:t>互联网+</w:t>
      </w:r>
      <w:r>
        <w:rPr>
          <w:rFonts w:hint="eastAsia" w:eastAsia="仿宋_GB2312" w:cs="Times New Roman"/>
          <w:color w:val="000000"/>
          <w:spacing w:val="-6"/>
          <w:w w:val="98"/>
          <w:kern w:val="2"/>
          <w:sz w:val="32"/>
          <w:szCs w:val="32"/>
          <w:lang w:val="en-US" w:eastAsia="zh-CN" w:bidi="ar-SA"/>
        </w:rPr>
        <w:t>”</w:t>
      </w:r>
      <w:r>
        <w:rPr>
          <w:rFonts w:hint="default" w:ascii="Times New Roman" w:hAnsi="Times New Roman" w:eastAsia="仿宋_GB2312" w:cs="Times New Roman"/>
          <w:color w:val="000000"/>
          <w:spacing w:val="-6"/>
          <w:w w:val="98"/>
          <w:kern w:val="2"/>
          <w:sz w:val="32"/>
          <w:szCs w:val="32"/>
          <w:lang w:val="en-US" w:eastAsia="zh-CN" w:bidi="ar-SA"/>
        </w:rPr>
        <w:t>开展网购网销活动，融合特色</w:t>
      </w:r>
      <w:r>
        <w:rPr>
          <w:rFonts w:hint="default" w:ascii="Times New Roman" w:hAnsi="Times New Roman" w:eastAsia="仿宋_GB2312" w:cs="Times New Roman"/>
          <w:color w:val="000000"/>
          <w:spacing w:val="-6"/>
          <w:w w:val="105"/>
          <w:kern w:val="2"/>
          <w:sz w:val="32"/>
          <w:szCs w:val="32"/>
          <w:lang w:val="en-US" w:eastAsia="zh-CN" w:bidi="ar-SA"/>
        </w:rPr>
        <w:t>产品</w:t>
      </w:r>
      <w:r>
        <w:rPr>
          <w:rFonts w:hint="default" w:ascii="Times New Roman" w:hAnsi="Times New Roman" w:eastAsia="仿宋_GB2312" w:cs="Times New Roman"/>
          <w:color w:val="000000"/>
          <w:spacing w:val="-6"/>
          <w:w w:val="98"/>
          <w:kern w:val="2"/>
          <w:sz w:val="32"/>
          <w:szCs w:val="32"/>
          <w:lang w:val="en-US" w:eastAsia="zh-CN" w:bidi="ar-SA"/>
        </w:rPr>
        <w:t>优势，包装打造“达州高新造</w:t>
      </w:r>
      <w:r>
        <w:rPr>
          <w:rFonts w:hint="eastAsia" w:eastAsia="仿宋_GB2312" w:cs="Times New Roman"/>
          <w:color w:val="000000"/>
          <w:spacing w:val="-6"/>
          <w:w w:val="98"/>
          <w:kern w:val="2"/>
          <w:sz w:val="32"/>
          <w:szCs w:val="32"/>
          <w:lang w:val="en-US" w:eastAsia="zh-CN" w:bidi="ar-SA"/>
        </w:rPr>
        <w:t>”</w:t>
      </w:r>
      <w:r>
        <w:rPr>
          <w:rFonts w:hint="default" w:ascii="Times New Roman" w:hAnsi="Times New Roman" w:eastAsia="仿宋_GB2312" w:cs="Times New Roman"/>
          <w:color w:val="000000"/>
          <w:spacing w:val="-6"/>
          <w:w w:val="98"/>
          <w:kern w:val="2"/>
          <w:sz w:val="32"/>
          <w:szCs w:val="32"/>
          <w:lang w:val="en-US" w:eastAsia="zh-CN" w:bidi="ar-SA"/>
        </w:rPr>
        <w:t>互联网市场品牌。发挥临港临空优势</w:t>
      </w:r>
      <w:r>
        <w:rPr>
          <w:rFonts w:hint="default" w:ascii="Times New Roman" w:hAnsi="Times New Roman" w:eastAsia="仿宋_GB2312" w:cs="Times New Roman"/>
          <w:color w:val="000000"/>
          <w:spacing w:val="-6"/>
          <w:w w:val="105"/>
          <w:kern w:val="2"/>
          <w:sz w:val="32"/>
          <w:szCs w:val="32"/>
          <w:lang w:val="en-US" w:eastAsia="zh-CN" w:bidi="ar-SA"/>
        </w:rPr>
        <w:t>，</w:t>
      </w:r>
      <w:r>
        <w:rPr>
          <w:rFonts w:hint="default" w:ascii="Times New Roman" w:hAnsi="Times New Roman" w:eastAsia="仿宋_GB2312" w:cs="Times New Roman"/>
          <w:color w:val="000000"/>
          <w:spacing w:val="-6"/>
          <w:w w:val="98"/>
          <w:kern w:val="2"/>
          <w:sz w:val="32"/>
          <w:szCs w:val="32"/>
          <w:lang w:val="en-US" w:eastAsia="zh-CN" w:bidi="ar-SA"/>
        </w:rPr>
        <w:t>积极推动保税加工区、保税物流园和保税港区建设，规划建设跨境</w:t>
      </w:r>
      <w:r>
        <w:rPr>
          <w:rFonts w:hint="default" w:ascii="Times New Roman" w:hAnsi="Times New Roman" w:eastAsia="仿宋_GB2312" w:cs="Times New Roman"/>
          <w:color w:val="000000"/>
          <w:spacing w:val="-6"/>
          <w:w w:val="102"/>
          <w:kern w:val="2"/>
          <w:sz w:val="32"/>
          <w:szCs w:val="32"/>
          <w:lang w:val="en-US" w:eastAsia="zh-CN" w:bidi="ar-SA"/>
        </w:rPr>
        <w:t>电商与物流大数据平台，鼓励辖区企业借助平台积极开拓海外市场。</w:t>
      </w:r>
      <w:r>
        <w:rPr>
          <w:rFonts w:hint="default" w:ascii="Times New Roman" w:hAnsi="Times New Roman" w:eastAsia="仿宋_GB2312" w:cs="Times New Roman"/>
          <w:color w:val="000000"/>
          <w:spacing w:val="-6"/>
          <w:w w:val="98"/>
          <w:kern w:val="2"/>
          <w:sz w:val="32"/>
          <w:szCs w:val="32"/>
          <w:lang w:val="en-US" w:eastAsia="zh-CN" w:bidi="ar-SA"/>
        </w:rPr>
        <w:t>积极打造沉浸式、体验式消费场景，发展夜游、夜购、夜娱、夜饮、夜食、夜展等新业态，大力推动夜间经济发展。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75" w:firstLineChars="200"/>
        <w:jc w:val="both"/>
        <w:textAlignment w:val="auto"/>
        <w:rPr>
          <w:rFonts w:hint="default" w:ascii="Times New Roman" w:hAnsi="Times New Roman" w:eastAsia="仿宋_GB2312" w:cs="Times New Roman"/>
          <w:color w:val="000000"/>
          <w:w w:val="98"/>
          <w:kern w:val="2"/>
          <w:sz w:val="32"/>
          <w:szCs w:val="32"/>
          <w:lang w:val="en-US" w:eastAsia="zh-CN" w:bidi="ar-SA"/>
        </w:rPr>
      </w:pPr>
      <w:r>
        <w:rPr>
          <w:rFonts w:hint="default" w:ascii="Times New Roman" w:hAnsi="Times New Roman" w:eastAsia="仿宋" w:cs="Times New Roman"/>
          <w:b/>
          <w:bCs/>
          <w:color w:val="000000"/>
          <w:w w:val="105"/>
          <w:sz w:val="32"/>
          <w:szCs w:val="32"/>
          <w:lang w:val="en-US" w:eastAsia="zh-CN"/>
        </w:rPr>
        <w:t>（3）促进消费留高新。</w:t>
      </w:r>
      <w:r>
        <w:rPr>
          <w:rFonts w:hint="default" w:ascii="Times New Roman" w:hAnsi="Times New Roman" w:eastAsia="仿宋_GB2312" w:cs="Times New Roman"/>
          <w:color w:val="000000"/>
          <w:w w:val="98"/>
          <w:kern w:val="2"/>
          <w:sz w:val="32"/>
          <w:szCs w:val="32"/>
          <w:lang w:val="en-US" w:eastAsia="zh-CN" w:bidi="ar-SA"/>
        </w:rPr>
        <w:t>认真梳理域内既有商贸企业，积</w:t>
      </w:r>
      <w:r>
        <w:rPr>
          <w:rFonts w:hint="default" w:ascii="Times New Roman" w:hAnsi="Times New Roman" w:eastAsia="仿宋_GB2312" w:cs="Times New Roman"/>
          <w:color w:val="000000"/>
          <w:w w:val="105"/>
          <w:kern w:val="2"/>
          <w:sz w:val="32"/>
          <w:szCs w:val="32"/>
          <w:lang w:val="en-US" w:eastAsia="zh-CN" w:bidi="ar-SA"/>
        </w:rPr>
        <w:t>极</w:t>
      </w:r>
      <w:r>
        <w:rPr>
          <w:rFonts w:hint="default" w:ascii="Times New Roman" w:hAnsi="Times New Roman" w:eastAsia="仿宋_GB2312" w:cs="Times New Roman"/>
          <w:color w:val="000000"/>
          <w:w w:val="98"/>
          <w:kern w:val="2"/>
          <w:sz w:val="32"/>
          <w:szCs w:val="32"/>
          <w:lang w:val="en-US" w:eastAsia="zh-CN" w:bidi="ar-SA"/>
        </w:rPr>
        <w:t>引进商贸企业总部来高新区注册，引导特色农产品产销分离、</w:t>
      </w:r>
      <w:r>
        <w:rPr>
          <w:rFonts w:hint="default" w:ascii="Times New Roman" w:hAnsi="Times New Roman" w:eastAsia="仿宋_GB2312" w:cs="Times New Roman"/>
          <w:color w:val="000000"/>
          <w:w w:val="105"/>
          <w:kern w:val="2"/>
          <w:sz w:val="32"/>
          <w:szCs w:val="32"/>
          <w:lang w:val="en-US" w:eastAsia="zh-CN" w:bidi="ar-SA"/>
        </w:rPr>
        <w:t>工</w:t>
      </w:r>
      <w:r>
        <w:rPr>
          <w:rFonts w:hint="default" w:ascii="Times New Roman" w:hAnsi="Times New Roman" w:eastAsia="仿宋_GB2312" w:cs="Times New Roman"/>
          <w:color w:val="000000"/>
          <w:w w:val="98"/>
          <w:kern w:val="2"/>
          <w:sz w:val="32"/>
          <w:szCs w:val="32"/>
          <w:lang w:val="en-US" w:eastAsia="zh-CN" w:bidi="ar-SA"/>
        </w:rPr>
        <w:t>业企业主辅分离，成立贸易公司。加大培育力度，力争每年</w:t>
      </w:r>
      <w:r>
        <w:rPr>
          <w:rFonts w:hint="default" w:ascii="Times New Roman" w:hAnsi="Times New Roman" w:eastAsia="仿宋_GB2312" w:cs="Times New Roman"/>
          <w:color w:val="000000"/>
          <w:w w:val="105"/>
          <w:kern w:val="2"/>
          <w:sz w:val="32"/>
          <w:szCs w:val="32"/>
          <w:lang w:val="en-US" w:eastAsia="zh-CN" w:bidi="ar-SA"/>
        </w:rPr>
        <w:t>新增</w:t>
      </w:r>
      <w:r>
        <w:rPr>
          <w:rFonts w:hint="default" w:ascii="Times New Roman" w:hAnsi="Times New Roman" w:eastAsia="仿宋_GB2312" w:cs="Times New Roman"/>
          <w:color w:val="000000"/>
          <w:w w:val="98"/>
          <w:kern w:val="2"/>
          <w:sz w:val="32"/>
          <w:szCs w:val="32"/>
          <w:lang w:val="en-US" w:eastAsia="zh-CN" w:bidi="ar-SA"/>
        </w:rPr>
        <w:t>升规（限）入统企业20家以上。扎实开展汽车家电下乡和“达州高新造”终端产品促销活动。支持电商、快递进农村，激活农村消费。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bidi="ar-SA"/>
        </w:rPr>
        <w:t>3.优先发展科技研发和数据服务。</w:t>
      </w:r>
      <w:r>
        <w:rPr>
          <w:rFonts w:hint="default" w:ascii="Times New Roman" w:hAnsi="Times New Roman" w:eastAsia="仿宋_GB2312" w:cs="Times New Roman"/>
          <w:color w:val="000000"/>
          <w:kern w:val="2"/>
          <w:sz w:val="32"/>
          <w:szCs w:val="32"/>
          <w:lang w:val="en-US" w:eastAsia="zh-CN" w:bidi="ar-SA"/>
        </w:rPr>
        <w:t>突出“高”和“新”两个特点，强化主体培育，创新服务能力，着力打造万达开区域创新中心主引擎。力争到2025年，新增省级以上创新创业平台5个，科技服务业市场服务主体10家，科技研发和数据服务业增加值突破8亿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（1）构建科技研发服务体系。</w:t>
      </w:r>
      <w:r>
        <w:rPr>
          <w:rFonts w:hint="default" w:ascii="Times New Roman" w:hAnsi="Times New Roman" w:eastAsia="仿宋_GB2312" w:cs="Times New Roman"/>
          <w:color w:val="000000"/>
          <w:kern w:val="2"/>
          <w:sz w:val="32"/>
          <w:szCs w:val="32"/>
          <w:lang w:val="en-US" w:eastAsia="zh-CN" w:bidi="ar-SA"/>
        </w:rPr>
        <w:t>全面深化与四川文理学院等知名高校的合作，着力打造达州科技园，全力支持四川省玄武岩研究院、四川省磷资源综合利用工程技术研究中心、厅市共建玄武岩纤维重点实验室、达州市铝电解电容器工程技术研究中心等科技研发平台，积极建设四川玄武岩纤维及产品质量监督检测中心等检测机构，全力构建政策完善、机制灵活的产学研服务体系。</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（2）加快数字产业园发展。</w:t>
      </w:r>
      <w:r>
        <w:rPr>
          <w:rFonts w:hint="default" w:ascii="Times New Roman" w:hAnsi="Times New Roman" w:eastAsia="仿宋_GB2312" w:cs="Times New Roman"/>
          <w:color w:val="000000"/>
          <w:kern w:val="2"/>
          <w:sz w:val="32"/>
          <w:szCs w:val="32"/>
          <w:lang w:val="en-US" w:eastAsia="zh-CN" w:bidi="ar-SA"/>
        </w:rPr>
        <w:t>鼓励高端智能装备、信息网络设备等高新技术产业，以及大数据服务、互联网金融等应用产业向园区集聚，协同推进产业数字化，数字产业化。</w:t>
      </w:r>
      <w:r>
        <w:rPr>
          <w:rFonts w:hint="default" w:ascii="Times New Roman" w:hAnsi="Times New Roman" w:eastAsia="仿宋_GB2312" w:cs="Times New Roman"/>
          <w:b w:val="0"/>
          <w:bCs w:val="0"/>
          <w:color w:val="000000"/>
          <w:kern w:val="2"/>
          <w:sz w:val="32"/>
          <w:szCs w:val="32"/>
          <w:lang w:val="en-US" w:eastAsia="zh-CN" w:bidi="ar-SA"/>
        </w:rPr>
        <w:t>加快智慧楼宇、科技体验中心、文化展示中心、数字产业研究基地基础设施项目建设，重点发展以数字媒体、城市大脑、视频图像识别等数字人力服务产业集群，以工业互联、智能家居、区块链为主数字融合产业集群，以电子信息制造、数据金融与跨境电商、数据确权与交易的数字产业化集群。全力建设数字经济科技创新区、产业数字化融合区、数字产业转化区、数字场景示范区，打造新产业、新场景、新模式、新消费、新应用的生长沃土。</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（3）大力推进数字化运用。</w:t>
      </w:r>
      <w:r>
        <w:rPr>
          <w:rFonts w:hint="default" w:ascii="Times New Roman" w:hAnsi="Times New Roman" w:eastAsia="仿宋_GB2312" w:cs="Times New Roman"/>
          <w:color w:val="000000"/>
          <w:kern w:val="2"/>
          <w:sz w:val="32"/>
          <w:szCs w:val="32"/>
          <w:lang w:val="en-US" w:eastAsia="zh-CN" w:bidi="ar-SA"/>
        </w:rPr>
        <w:t>推动企业上云，将云商城试点向乡镇延伸。大力发展互联网+政务、智慧健身、智慧教育、智慧医疗、智慧餐饮、智慧文旅等数字化运用。支持辖区工业企业利用数字技术，推动生产制造全过程、全产业链、产品全生命周期的深度感知、动态监控、数据汇聚，提升工业企业数字化管理水平。依托建立的大数据中心，加快数字技术在应急、交通、卫生、水务、城管等方面的应用，提升城市智能化管理水平。</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left="210" w:leftChars="0" w:firstLine="321" w:firstLineChars="100"/>
        <w:textAlignment w:val="auto"/>
        <w:rPr>
          <w:rFonts w:hint="default" w:ascii="Times New Roman" w:hAnsi="Times New Roman" w:eastAsia="方正楷体简体" w:cs="Times New Roman"/>
          <w:b/>
          <w:bCs/>
          <w:color w:val="000000"/>
          <w:kern w:val="2"/>
          <w:sz w:val="32"/>
          <w:szCs w:val="32"/>
          <w:lang w:val="en-US" w:eastAsia="zh-CN" w:bidi="ar-SA"/>
        </w:rPr>
      </w:pPr>
      <w:r>
        <w:rPr>
          <w:rFonts w:hint="default" w:ascii="Times New Roman" w:hAnsi="Times New Roman" w:eastAsia="方正楷体简体" w:cs="Times New Roman"/>
          <w:b/>
          <w:bCs/>
          <w:color w:val="000000"/>
          <w:kern w:val="2"/>
          <w:sz w:val="32"/>
          <w:szCs w:val="32"/>
          <w:lang w:val="en-US" w:eastAsia="zh-CN" w:bidi="ar-SA"/>
        </w:rPr>
        <w:t>（二）促进五大成长型服务业做大做强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sz w:val="32"/>
          <w:szCs w:val="32"/>
          <w:lang w:val="en-US" w:eastAsia="zh-CN"/>
        </w:rPr>
        <w:t>1.大力发展人力资源与教育培训服务。</w:t>
      </w:r>
      <w:r>
        <w:rPr>
          <w:rFonts w:hint="default" w:ascii="Times New Roman" w:hAnsi="Times New Roman" w:eastAsia="仿宋_GB2312" w:cs="Times New Roman"/>
          <w:color w:val="000000"/>
          <w:sz w:val="32"/>
          <w:szCs w:val="32"/>
          <w:lang w:val="en-US" w:eastAsia="zh-CN"/>
        </w:rPr>
        <w:t>着力塑造高新教育品牌，不断提升教育水平，积极搭建人力资源服务平台，大力提升人力资源效益。</w:t>
      </w:r>
      <w:r>
        <w:rPr>
          <w:rFonts w:hint="default" w:ascii="Times New Roman" w:hAnsi="Times New Roman" w:eastAsia="仿宋_GB2312" w:cs="Times New Roman"/>
          <w:color w:val="000000"/>
          <w:kern w:val="2"/>
          <w:sz w:val="32"/>
          <w:szCs w:val="32"/>
          <w:lang w:val="en-US" w:eastAsia="zh-CN" w:bidi="ar-SA"/>
        </w:rPr>
        <w:t>力争到2025年，人力资源和教育培训服务业增加值实现2亿元。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bCs/>
          <w:color w:val="000000"/>
          <w:kern w:val="2"/>
          <w:sz w:val="32"/>
          <w:szCs w:val="32"/>
          <w:lang w:val="en-US" w:eastAsia="zh-CN" w:bidi="ar-SA"/>
        </w:rPr>
        <w:t>（1）优质发展人力资源服务。</w:t>
      </w:r>
      <w:r>
        <w:rPr>
          <w:rFonts w:hint="default" w:ascii="Times New Roman" w:hAnsi="Times New Roman" w:eastAsia="仿宋_GB2312" w:cs="Times New Roman"/>
          <w:color w:val="000000"/>
          <w:kern w:val="2"/>
          <w:sz w:val="32"/>
          <w:szCs w:val="32"/>
          <w:lang w:val="en-US" w:eastAsia="zh-CN" w:bidi="ar-SA"/>
        </w:rPr>
        <w:t>加快引进培育人力资源服务企业，搭建人才交流和对接平台，鼓励发展“互联网+人力资源服务、高级人才寻访、人才测评、管理咨询”等业态，不断提升人力资源服务水平。做响“春暖人心、就在高新”品牌，用好用活高新区“3+1”人才新政，</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积极</w:t>
      </w:r>
      <w:r>
        <w:rPr>
          <w:rFonts w:hint="default" w:ascii="Times New Roman" w:hAnsi="Times New Roman" w:eastAsia="仿宋_GB2312" w:cs="Times New Roman"/>
          <w:i w:val="0"/>
          <w:iCs w:val="0"/>
          <w:caps w:val="0"/>
          <w:color w:val="000000"/>
          <w:spacing w:val="0"/>
          <w:sz w:val="32"/>
          <w:szCs w:val="32"/>
          <w:shd w:val="clear" w:color="auto" w:fill="FFFFFF"/>
        </w:rPr>
        <w:t>搭建</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职业学校与企业人才交流</w:t>
      </w:r>
      <w:r>
        <w:rPr>
          <w:rFonts w:hint="default" w:ascii="Times New Roman" w:hAnsi="Times New Roman" w:eastAsia="仿宋_GB2312" w:cs="Times New Roman"/>
          <w:i w:val="0"/>
          <w:iCs w:val="0"/>
          <w:caps w:val="0"/>
          <w:color w:val="000000"/>
          <w:spacing w:val="0"/>
          <w:sz w:val="32"/>
          <w:szCs w:val="32"/>
          <w:shd w:val="clear" w:color="auto" w:fill="FFFFFF"/>
        </w:rPr>
        <w:t>平台，建立校企人才双向流动机制</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切实解决园区企业人才招聘和用工问题。</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（2）大力发展教育培训服务。</w:t>
      </w:r>
      <w:r>
        <w:rPr>
          <w:rFonts w:hint="default" w:ascii="Times New Roman" w:hAnsi="Times New Roman" w:eastAsia="仿宋_GB2312" w:cs="Times New Roman"/>
          <w:b w:val="0"/>
          <w:bCs w:val="0"/>
          <w:color w:val="000000"/>
          <w:kern w:val="2"/>
          <w:sz w:val="32"/>
          <w:szCs w:val="32"/>
          <w:lang w:val="en-US" w:eastAsia="zh-CN" w:bidi="ar-SA"/>
        </w:rPr>
        <w:t>推动民办教育规范、优质发展，落实民办教育机构就地工商登记注册。</w:t>
      </w:r>
      <w:r>
        <w:rPr>
          <w:rFonts w:hint="default" w:ascii="Times New Roman" w:hAnsi="Times New Roman" w:eastAsia="仿宋_GB2312" w:cs="Times New Roman"/>
          <w:color w:val="000000"/>
          <w:kern w:val="2"/>
          <w:sz w:val="32"/>
          <w:szCs w:val="32"/>
          <w:lang w:val="en-US" w:eastAsia="zh-CN" w:bidi="ar-SA"/>
        </w:rPr>
        <w:t>推动华南理工、凤凰职校、全星职校等园区职业（院）校建设，</w:t>
      </w:r>
      <w:r>
        <w:rPr>
          <w:rFonts w:hint="default" w:ascii="Times New Roman" w:hAnsi="Times New Roman" w:eastAsia="仿宋_GB2312" w:cs="Times New Roman"/>
          <w:i w:val="0"/>
          <w:iCs w:val="0"/>
          <w:caps w:val="0"/>
          <w:color w:val="000000"/>
          <w:spacing w:val="0"/>
          <w:sz w:val="32"/>
          <w:szCs w:val="32"/>
          <w:shd w:val="clear" w:color="auto" w:fill="FFFFFF"/>
        </w:rPr>
        <w:t>加强</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对口</w:t>
      </w:r>
      <w:r>
        <w:rPr>
          <w:rFonts w:hint="default" w:ascii="Times New Roman" w:hAnsi="Times New Roman" w:eastAsia="仿宋_GB2312" w:cs="Times New Roman"/>
          <w:i w:val="0"/>
          <w:iCs w:val="0"/>
          <w:caps w:val="0"/>
          <w:color w:val="000000"/>
          <w:spacing w:val="0"/>
          <w:sz w:val="32"/>
          <w:szCs w:val="32"/>
          <w:shd w:val="clear" w:color="auto" w:fill="FFFFFF"/>
        </w:rPr>
        <w:t>学科专业建设</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共建校企实习实训平台</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共同谋划推动学生创新创业，</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深入</w:t>
      </w:r>
      <w:r>
        <w:rPr>
          <w:rFonts w:hint="default" w:ascii="Times New Roman" w:hAnsi="Times New Roman" w:eastAsia="仿宋_GB2312" w:cs="Times New Roman"/>
          <w:i w:val="0"/>
          <w:iCs w:val="0"/>
          <w:caps w:val="0"/>
          <w:color w:val="000000"/>
          <w:spacing w:val="0"/>
          <w:sz w:val="32"/>
          <w:szCs w:val="32"/>
          <w:shd w:val="clear" w:color="auto" w:fill="FFFFFF"/>
        </w:rPr>
        <w:t>展开产学研合作</w:t>
      </w:r>
      <w:r>
        <w:rPr>
          <w:rFonts w:hint="default" w:ascii="Times New Roman" w:hAnsi="Times New Roman" w:eastAsia="仿宋_GB2312" w:cs="Times New Roman"/>
          <w:color w:val="000000"/>
          <w:kern w:val="2"/>
          <w:sz w:val="32"/>
          <w:szCs w:val="32"/>
          <w:lang w:val="en-US" w:eastAsia="zh-CN" w:bidi="ar-SA"/>
        </w:rPr>
        <w:t>；大力招引一批品牌教育培训机构落户高新区，健全教育培训体系。坚持市场需求导向，推动各项技能培训。</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2.创新发展金融服务。</w:t>
      </w:r>
      <w:r>
        <w:rPr>
          <w:rFonts w:hint="default" w:ascii="Times New Roman" w:hAnsi="Times New Roman" w:eastAsia="仿宋_GB2312" w:cs="Times New Roman"/>
          <w:color w:val="000000"/>
          <w:sz w:val="32"/>
          <w:szCs w:val="32"/>
          <w:lang w:val="en-US" w:eastAsia="zh-CN"/>
        </w:rPr>
        <w:t>创新金融模式，大力引进金融主体，做大金融规模。力争到2025年，金融服务业增加值实现2亿元。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（1）健全金融服务体系。</w:t>
      </w:r>
      <w:r>
        <w:rPr>
          <w:rFonts w:hint="default" w:ascii="Times New Roman" w:hAnsi="Times New Roman" w:eastAsia="仿宋_GB2312" w:cs="Times New Roman"/>
          <w:color w:val="000000"/>
          <w:sz w:val="32"/>
          <w:szCs w:val="32"/>
          <w:lang w:val="en-US" w:eastAsia="zh-CN"/>
        </w:rPr>
        <w:t>引进培育层次丰富、业态多样的金融服务机构。鼓励各类金融机构在高新区设立办事机构和服务窗口，在三中心附近规划打造金融服务一条街。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（2）创新金融服务产品。</w:t>
      </w:r>
      <w:r>
        <w:rPr>
          <w:rFonts w:hint="default" w:ascii="Times New Roman" w:hAnsi="Times New Roman" w:eastAsia="仿宋_GB2312" w:cs="Times New Roman"/>
          <w:color w:val="000000"/>
          <w:sz w:val="32"/>
          <w:szCs w:val="32"/>
          <w:lang w:val="en-US" w:eastAsia="zh-CN"/>
        </w:rPr>
        <w:t>推动政策性保险和特色保险向纵深发展，提高保险密度和深度。依托市级政府性融资担保公司，完善担保体系，提升服务能力。加强客户需求的前瞻性研究，有针对性地研发和设计满足客户差异化需求的金融产品，用好用活用足园保贷、服保贷、政采贷、天府科创贷等金融产品，大力推广订单融资、应收账款融资、农村土地经营权抵押融资，提升中小微企业贷款获得率，不断扩大存贷款规模，提高存贷比。</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（3）营造良好金融生态。</w:t>
      </w:r>
      <w:r>
        <w:rPr>
          <w:rFonts w:hint="default" w:ascii="Times New Roman" w:hAnsi="Times New Roman" w:eastAsia="仿宋_GB2312" w:cs="Times New Roman"/>
          <w:color w:val="000000"/>
          <w:sz w:val="32"/>
          <w:szCs w:val="32"/>
          <w:lang w:val="en-US" w:eastAsia="zh-CN"/>
        </w:rPr>
        <w:t>打造诚信园区，加大对恶意逃避金融债务的打击力度和对失信行为的惩戒力度，努力完善社会信用体系，营造良好的金融生态环境。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3.配套发展商务服务。</w:t>
      </w:r>
      <w:r>
        <w:rPr>
          <w:rFonts w:hint="default" w:ascii="Times New Roman" w:hAnsi="Times New Roman" w:eastAsia="仿宋_GB2312" w:cs="Times New Roman"/>
          <w:color w:val="000000"/>
          <w:sz w:val="32"/>
          <w:szCs w:val="32"/>
          <w:lang w:val="en-US" w:eastAsia="zh-CN"/>
        </w:rPr>
        <w:t>重点发展楼宇经济、租赁经济、中介服务经济业态，着力提供优质商务服务。力争到2025年，商务服务服务业增加值突破1亿元。</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（1）孵化楼宇经济。</w:t>
      </w:r>
      <w:r>
        <w:rPr>
          <w:rFonts w:hint="default" w:ascii="Times New Roman" w:hAnsi="Times New Roman" w:eastAsia="仿宋_GB2312" w:cs="Times New Roman"/>
          <w:b w:val="0"/>
          <w:bCs w:val="0"/>
          <w:color w:val="000000"/>
          <w:sz w:val="32"/>
          <w:szCs w:val="32"/>
          <w:lang w:val="en-US" w:eastAsia="zh-CN"/>
        </w:rPr>
        <w:t>根据园区企业需求，吸引社会资本</w:t>
      </w:r>
      <w:r>
        <w:rPr>
          <w:rFonts w:hint="default" w:ascii="Times New Roman" w:hAnsi="Times New Roman" w:eastAsia="仿宋_GB2312" w:cs="Times New Roman"/>
          <w:color w:val="000000"/>
          <w:sz w:val="32"/>
          <w:szCs w:val="32"/>
          <w:lang w:val="en-US" w:eastAsia="zh-CN"/>
        </w:rPr>
        <w:t>在三中心规划建设档次高、品质好的综合商务写字楼。配套完善商务写字楼周边购物、停车、住宿、餐饮、洗理等配套服务设施，提升楼宇经济水平。</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（2）培育租赁经济。</w:t>
      </w:r>
      <w:r>
        <w:rPr>
          <w:rFonts w:hint="default" w:ascii="Times New Roman" w:hAnsi="Times New Roman" w:eastAsia="仿宋" w:cs="Times New Roman"/>
          <w:color w:val="000000"/>
          <w:sz w:val="32"/>
          <w:szCs w:val="32"/>
          <w:lang w:val="en-US" w:eastAsia="zh-CN"/>
        </w:rPr>
        <w:t>发</w:t>
      </w:r>
      <w:r>
        <w:rPr>
          <w:rFonts w:hint="default" w:ascii="Times New Roman" w:hAnsi="Times New Roman" w:eastAsia="仿宋_GB2312" w:cs="Times New Roman"/>
          <w:b w:val="0"/>
          <w:bCs w:val="0"/>
          <w:color w:val="000000"/>
          <w:sz w:val="32"/>
          <w:szCs w:val="32"/>
          <w:lang w:val="en-US" w:eastAsia="zh-CN"/>
        </w:rPr>
        <w:t>挥好国有平台公司引领作用，推动义兰置业、易腾实业做大做强，做好标准厂房租赁、住房租赁。积极发展设备租赁业务，重点发展塔吊、挖机等建筑机械设备租赁业务。</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（3）推进中介服务。</w:t>
      </w:r>
      <w:r>
        <w:rPr>
          <w:rFonts w:hint="default" w:ascii="Times New Roman" w:hAnsi="Times New Roman" w:eastAsia="仿宋_GB2312" w:cs="Times New Roman"/>
          <w:b w:val="0"/>
          <w:bCs w:val="0"/>
          <w:color w:val="000000"/>
          <w:sz w:val="32"/>
          <w:szCs w:val="32"/>
          <w:lang w:val="en-US" w:eastAsia="zh-CN"/>
        </w:rPr>
        <w:t>积极招引法律服务、会计、审计、勘察设计等中介服务企业，大力发展相关中介服务产业，为辖区企业提供优质、高效的商务中介服务。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4.错位发展餐饮服务。</w:t>
      </w:r>
      <w:r>
        <w:rPr>
          <w:rFonts w:hint="default" w:ascii="Times New Roman" w:hAnsi="Times New Roman" w:eastAsia="仿宋_GB2312" w:cs="Times New Roman"/>
          <w:b w:val="0"/>
          <w:bCs w:val="0"/>
          <w:color w:val="000000"/>
          <w:sz w:val="32"/>
          <w:szCs w:val="32"/>
          <w:lang w:val="en-US" w:eastAsia="zh-CN"/>
        </w:rPr>
        <w:t>坚持服务园区、服务产业为导向，优化经营策略，创新经营模式，不断满足居民餐饮需求。力争到2025年，餐饮服务业增加值实现1亿元。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（1）引培餐饮主体。</w:t>
      </w:r>
      <w:r>
        <w:rPr>
          <w:rFonts w:hint="default" w:ascii="Times New Roman" w:hAnsi="Times New Roman" w:eastAsia="仿宋_GB2312" w:cs="Times New Roman"/>
          <w:b w:val="0"/>
          <w:bCs w:val="0"/>
          <w:color w:val="000000"/>
          <w:sz w:val="32"/>
          <w:szCs w:val="32"/>
          <w:lang w:val="en-US" w:eastAsia="zh-CN"/>
        </w:rPr>
        <w:t>在三中心组团规划打造名特餐饮一条街，在长田组团、堰坝组团、澜台小区等人口密集住宅区引进一批特色餐饮小吃，大力支持餐饮企业来高新区发展。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2）挖掘餐饮品牌。</w:t>
      </w:r>
      <w:r>
        <w:rPr>
          <w:rFonts w:hint="default" w:ascii="Times New Roman" w:hAnsi="Times New Roman" w:eastAsia="仿宋_GB2312" w:cs="Times New Roman"/>
          <w:b w:val="0"/>
          <w:bCs w:val="0"/>
          <w:color w:val="000000"/>
          <w:sz w:val="32"/>
          <w:szCs w:val="32"/>
          <w:lang w:val="en-US" w:eastAsia="zh-CN"/>
        </w:rPr>
        <w:t>鼓励木瓜铺松菌鸡、梨树坪井水鱼等既有餐饮品牌提高档次、扩大经营规模，做响品牌，引导火峰山通州别院、富盈山庄加快发展。加强乡厨管理，打造特色坝坝宴、农家菜，创新推出餐饮新品牌。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（3）优化餐饮供给。</w:t>
      </w:r>
      <w:r>
        <w:rPr>
          <w:rFonts w:hint="eastAsia" w:ascii="仿宋_GB2312" w:hAnsi="仿宋_GB2312" w:eastAsia="仿宋_GB2312" w:cs="仿宋_GB2312"/>
          <w:b w:val="0"/>
          <w:bCs w:val="0"/>
          <w:color w:val="000000"/>
          <w:sz w:val="32"/>
          <w:szCs w:val="32"/>
          <w:lang w:val="en-US" w:eastAsia="zh-CN"/>
        </w:rPr>
        <w:t>在三</w:t>
      </w:r>
      <w:r>
        <w:rPr>
          <w:rFonts w:hint="default" w:ascii="Times New Roman" w:hAnsi="Times New Roman" w:eastAsia="仿宋_GB2312" w:cs="Times New Roman"/>
          <w:b w:val="0"/>
          <w:bCs w:val="0"/>
          <w:color w:val="000000"/>
          <w:sz w:val="32"/>
          <w:szCs w:val="32"/>
          <w:lang w:val="en-US" w:eastAsia="zh-CN"/>
        </w:rPr>
        <w:t>中心组团规划建设1家星级酒店，在园区配套建设1—2家商务酒店，满足商务活动需要。培育一</w:t>
      </w:r>
      <w:r>
        <w:rPr>
          <w:rFonts w:hint="default" w:ascii="Times New Roman" w:hAnsi="Times New Roman" w:eastAsia="仿宋_GB2312" w:cs="Times New Roman"/>
          <w:b w:val="0"/>
          <w:bCs w:val="0"/>
          <w:color w:val="000000"/>
          <w:w w:val="102"/>
          <w:sz w:val="32"/>
          <w:szCs w:val="32"/>
          <w:lang w:val="en-US" w:eastAsia="zh-CN"/>
        </w:rPr>
        <w:t>批星级农家乐，打造从农田到餐桌的全过程可追溯餐饮业链服务。</w:t>
      </w:r>
      <w:r>
        <w:rPr>
          <w:rFonts w:hint="default" w:ascii="Times New Roman" w:hAnsi="Times New Roman" w:eastAsia="仿宋_GB2312" w:cs="Times New Roman"/>
          <w:b w:val="0"/>
          <w:bCs w:val="0"/>
          <w:color w:val="000000"/>
          <w:sz w:val="32"/>
          <w:szCs w:val="32"/>
          <w:lang w:val="en-US" w:eastAsia="zh-CN"/>
        </w:rPr>
        <w:t>积极推动中央厨房建设，加快发展快餐配送服务，鼓励发展无人服务餐厅、到店即食、线下配送等新业态。</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sz w:val="32"/>
          <w:szCs w:val="32"/>
          <w:lang w:val="en-US" w:eastAsia="zh-CN"/>
        </w:rPr>
        <w:t>5.融合发展文化旅游。</w:t>
      </w:r>
      <w:r>
        <w:rPr>
          <w:rFonts w:hint="default" w:ascii="Times New Roman" w:hAnsi="Times New Roman" w:eastAsia="仿宋_GB2312" w:cs="Times New Roman"/>
          <w:color w:val="000000"/>
          <w:kern w:val="2"/>
          <w:sz w:val="32"/>
          <w:szCs w:val="32"/>
          <w:lang w:val="en-US" w:eastAsia="zh-CN" w:bidi="ar-SA"/>
        </w:rPr>
        <w:t>深入挖掘文化旅游资源，创新生态旅游业态和模式，积极打造旅游品牌，大力提升旅游基础设施和配套服务，以有力有效举措推进文化和旅游深度融合。力争到2025年，文化旅游业增加值实现1亿元。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color w:val="000000"/>
          <w:sz w:val="32"/>
          <w:szCs w:val="32"/>
          <w:lang w:val="en-US" w:eastAsia="zh-CN"/>
        </w:rPr>
      </w:pPr>
      <w:r>
        <w:rPr>
          <w:rFonts w:hint="default" w:ascii="Times New Roman" w:hAnsi="Times New Roman" w:eastAsia="仿宋_GB2312" w:cs="Times New Roman"/>
          <w:b/>
          <w:bCs/>
          <w:color w:val="000000"/>
          <w:kern w:val="2"/>
          <w:sz w:val="32"/>
          <w:szCs w:val="32"/>
          <w:lang w:val="en-US" w:eastAsia="zh-CN" w:bidi="ar-SA"/>
        </w:rPr>
        <w:t>（1）规划打造文创示范区。</w:t>
      </w:r>
      <w:r>
        <w:rPr>
          <w:rFonts w:hint="default" w:ascii="Times New Roman" w:hAnsi="Times New Roman" w:eastAsia="仿宋_GB2312" w:cs="Times New Roman"/>
          <w:color w:val="000000"/>
          <w:w w:val="102"/>
          <w:kern w:val="2"/>
          <w:sz w:val="32"/>
          <w:szCs w:val="32"/>
          <w:lang w:val="en-US" w:eastAsia="zh-CN" w:bidi="ar-SA"/>
        </w:rPr>
        <w:t>积极引进社会力量</w:t>
      </w:r>
      <w:r>
        <w:rPr>
          <w:rFonts w:hint="default" w:ascii="Times New Roman" w:hAnsi="Times New Roman" w:cs="Times New Roman"/>
          <w:color w:val="000000"/>
          <w:w w:val="102"/>
          <w:kern w:val="2"/>
          <w:sz w:val="32"/>
          <w:szCs w:val="32"/>
          <w:lang w:val="en-US" w:eastAsia="zh-CN" w:bidi="ar-SA"/>
        </w:rPr>
        <w:t>在幺塘片区</w:t>
      </w:r>
      <w:r>
        <w:rPr>
          <w:rFonts w:hint="default" w:ascii="Times New Roman" w:hAnsi="Times New Roman" w:eastAsia="仿宋_GB2312" w:cs="Times New Roman"/>
          <w:color w:val="000000"/>
          <w:w w:val="102"/>
          <w:kern w:val="2"/>
          <w:sz w:val="32"/>
          <w:szCs w:val="32"/>
          <w:lang w:val="en-US" w:eastAsia="zh-CN" w:bidi="ar-SA"/>
        </w:rPr>
        <w:t>建</w:t>
      </w:r>
      <w:r>
        <w:rPr>
          <w:rFonts w:hint="default" w:ascii="Times New Roman" w:hAnsi="Times New Roman" w:eastAsia="仿宋_GB2312" w:cs="Times New Roman"/>
          <w:color w:val="000000"/>
          <w:kern w:val="2"/>
          <w:sz w:val="32"/>
          <w:szCs w:val="32"/>
          <w:lang w:val="en-US" w:eastAsia="zh-CN" w:bidi="ar-SA"/>
        </w:rPr>
        <w:t>设文创</w:t>
      </w:r>
      <w:r>
        <w:rPr>
          <w:rFonts w:hint="default" w:ascii="Times New Roman" w:hAnsi="Times New Roman" w:cs="Times New Roman"/>
          <w:color w:val="000000"/>
          <w:kern w:val="2"/>
          <w:sz w:val="32"/>
          <w:szCs w:val="32"/>
          <w:lang w:val="en-US" w:eastAsia="zh-CN" w:bidi="ar-SA"/>
        </w:rPr>
        <w:t>示范园，寓</w:t>
      </w:r>
      <w:r>
        <w:rPr>
          <w:rFonts w:hint="default" w:ascii="Times New Roman" w:hAnsi="Times New Roman" w:eastAsia="仿宋_GB2312" w:cs="Times New Roman"/>
          <w:color w:val="000000"/>
          <w:kern w:val="2"/>
          <w:sz w:val="32"/>
          <w:szCs w:val="32"/>
          <w:lang w:val="en-US" w:eastAsia="zh-CN" w:bidi="ar-SA"/>
        </w:rPr>
        <w:t>文</w:t>
      </w:r>
      <w:r>
        <w:rPr>
          <w:rFonts w:hint="default" w:ascii="Times New Roman" w:hAnsi="Times New Roman" w:cs="Times New Roman"/>
          <w:color w:val="000000"/>
          <w:kern w:val="2"/>
          <w:sz w:val="32"/>
          <w:szCs w:val="32"/>
          <w:lang w:val="en-US" w:eastAsia="zh-CN" w:bidi="ar-SA"/>
        </w:rPr>
        <w:t>艺</w:t>
      </w:r>
      <w:r>
        <w:rPr>
          <w:rFonts w:hint="default" w:ascii="Times New Roman" w:hAnsi="Times New Roman" w:eastAsia="仿宋_GB2312" w:cs="Times New Roman"/>
          <w:color w:val="000000"/>
          <w:kern w:val="2"/>
          <w:sz w:val="32"/>
          <w:szCs w:val="32"/>
          <w:lang w:val="en-US" w:eastAsia="zh-CN" w:bidi="ar-SA"/>
        </w:rPr>
        <w:t>交流中心、文创影视基地、文创</w:t>
      </w:r>
      <w:r>
        <w:rPr>
          <w:rFonts w:hint="default" w:ascii="Times New Roman" w:hAnsi="Times New Roman" w:cs="Times New Roman"/>
          <w:color w:val="000000"/>
          <w:kern w:val="2"/>
          <w:sz w:val="32"/>
          <w:szCs w:val="32"/>
          <w:lang w:val="en-US" w:eastAsia="zh-CN" w:bidi="ar-SA"/>
        </w:rPr>
        <w:t>产品</w:t>
      </w:r>
      <w:r>
        <w:rPr>
          <w:rFonts w:hint="default" w:ascii="Times New Roman" w:hAnsi="Times New Roman" w:eastAsia="仿宋_GB2312" w:cs="Times New Roman"/>
          <w:color w:val="000000"/>
          <w:kern w:val="2"/>
          <w:sz w:val="32"/>
          <w:szCs w:val="32"/>
          <w:lang w:val="en-US" w:eastAsia="zh-CN" w:bidi="ar-SA"/>
        </w:rPr>
        <w:t>展示展销市场、影视</w:t>
      </w:r>
      <w:r>
        <w:rPr>
          <w:rFonts w:hint="default" w:ascii="Times New Roman" w:hAnsi="Times New Roman" w:cs="Times New Roman"/>
          <w:color w:val="000000"/>
          <w:kern w:val="2"/>
          <w:sz w:val="32"/>
          <w:szCs w:val="32"/>
          <w:lang w:val="en-US" w:eastAsia="zh-CN" w:bidi="ar-SA"/>
        </w:rPr>
        <w:t>婚纱</w:t>
      </w:r>
      <w:r>
        <w:rPr>
          <w:rFonts w:hint="default" w:ascii="Times New Roman" w:hAnsi="Times New Roman" w:eastAsia="仿宋_GB2312" w:cs="Times New Roman"/>
          <w:color w:val="000000"/>
          <w:kern w:val="2"/>
          <w:sz w:val="32"/>
          <w:szCs w:val="32"/>
          <w:lang w:val="en-US" w:eastAsia="zh-CN" w:bidi="ar-SA"/>
        </w:rPr>
        <w:t>拍摄基地等</w:t>
      </w:r>
      <w:r>
        <w:rPr>
          <w:rFonts w:hint="default" w:ascii="Times New Roman" w:hAnsi="Times New Roman" w:cs="Times New Roman"/>
          <w:color w:val="000000"/>
          <w:kern w:val="2"/>
          <w:sz w:val="32"/>
          <w:szCs w:val="32"/>
          <w:lang w:val="en-US" w:eastAsia="zh-CN" w:bidi="ar-SA"/>
        </w:rPr>
        <w:t>于其中，推出新的文创IP</w:t>
      </w:r>
      <w:r>
        <w:rPr>
          <w:rFonts w:hint="default" w:ascii="Times New Roman" w:hAnsi="Times New Roman" w:eastAsia="仿宋_GB2312" w:cs="Times New Roman"/>
          <w:color w:val="000000"/>
          <w:kern w:val="2"/>
          <w:sz w:val="32"/>
          <w:szCs w:val="32"/>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（2）着力发展生态乡村游。</w:t>
      </w:r>
      <w:r>
        <w:rPr>
          <w:rFonts w:hint="default" w:ascii="Times New Roman" w:hAnsi="Times New Roman" w:eastAsia="仿宋_GB2312" w:cs="Times New Roman"/>
          <w:color w:val="000000"/>
          <w:w w:val="102"/>
          <w:kern w:val="2"/>
          <w:sz w:val="32"/>
          <w:szCs w:val="32"/>
          <w:lang w:val="en-US" w:eastAsia="zh-CN" w:bidi="ar-SA"/>
        </w:rPr>
        <w:t>全力发展以田园为基地，以庭园</w:t>
      </w:r>
      <w:r>
        <w:rPr>
          <w:rFonts w:hint="default" w:ascii="Times New Roman" w:hAnsi="Times New Roman" w:eastAsia="仿宋_GB2312" w:cs="Times New Roman"/>
          <w:color w:val="000000"/>
          <w:kern w:val="2"/>
          <w:sz w:val="32"/>
          <w:szCs w:val="32"/>
          <w:lang w:val="en-US" w:eastAsia="zh-CN" w:bidi="ar-SA"/>
        </w:rPr>
        <w:t>为载体，以文化为灵魂，以农村生活方式为体验的新型旅游业态。</w:t>
      </w:r>
      <w:r>
        <w:rPr>
          <w:rFonts w:hint="default" w:ascii="Times New Roman" w:hAnsi="Times New Roman" w:cs="Times New Roman"/>
          <w:color w:val="000000"/>
          <w:kern w:val="2"/>
          <w:sz w:val="32"/>
          <w:szCs w:val="32"/>
          <w:lang w:val="en-US" w:eastAsia="zh-CN" w:bidi="ar-SA"/>
        </w:rPr>
        <w:t>将梨树坪打造成全市知名旅游景点，将AAA景区成都山玫瑰谷打造成全市知名乡村游景点，</w:t>
      </w:r>
      <w:r>
        <w:rPr>
          <w:rFonts w:hint="default" w:ascii="Times New Roman" w:hAnsi="Times New Roman" w:eastAsia="仿宋_GB2312" w:cs="Times New Roman"/>
          <w:color w:val="000000"/>
          <w:kern w:val="2"/>
          <w:sz w:val="32"/>
          <w:szCs w:val="32"/>
          <w:lang w:val="en-US" w:eastAsia="zh-CN" w:bidi="ar-SA"/>
        </w:rPr>
        <w:t>打造</w:t>
      </w:r>
      <w:r>
        <w:rPr>
          <w:rFonts w:hint="default" w:ascii="Times New Roman" w:hAnsi="Times New Roman" w:cs="Times New Roman"/>
          <w:color w:val="000000"/>
          <w:kern w:val="2"/>
          <w:sz w:val="32"/>
          <w:szCs w:val="32"/>
          <w:lang w:val="en-US" w:eastAsia="zh-CN" w:bidi="ar-SA"/>
        </w:rPr>
        <w:t>一批</w:t>
      </w:r>
      <w:r>
        <w:rPr>
          <w:rFonts w:hint="default" w:ascii="Times New Roman" w:hAnsi="Times New Roman" w:eastAsia="仿宋_GB2312" w:cs="Times New Roman"/>
          <w:color w:val="000000"/>
          <w:kern w:val="2"/>
          <w:sz w:val="32"/>
          <w:szCs w:val="32"/>
          <w:lang w:val="en-US" w:eastAsia="zh-CN" w:bidi="ar-SA"/>
        </w:rPr>
        <w:t>特色民宿，</w:t>
      </w:r>
      <w:r>
        <w:rPr>
          <w:rFonts w:hint="default" w:ascii="Times New Roman" w:hAnsi="Times New Roman" w:cs="Times New Roman"/>
          <w:color w:val="000000"/>
          <w:kern w:val="2"/>
          <w:sz w:val="32"/>
          <w:szCs w:val="32"/>
          <w:lang w:val="en-US" w:eastAsia="zh-CN" w:bidi="ar-SA"/>
        </w:rPr>
        <w:t>融合亲子农耕、采摘等农事体验品牌，推动</w:t>
      </w:r>
      <w:r>
        <w:rPr>
          <w:rFonts w:hint="default" w:ascii="Times New Roman" w:hAnsi="Times New Roman" w:eastAsia="仿宋_GB2312" w:cs="Times New Roman"/>
          <w:color w:val="000000"/>
          <w:kern w:val="2"/>
          <w:sz w:val="32"/>
          <w:szCs w:val="32"/>
          <w:lang w:val="en-US" w:eastAsia="zh-CN" w:bidi="ar-SA"/>
        </w:rPr>
        <w:t>发展近郊游、周末游</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带动农产品加工业、种植业、商贸业、餐饮业、住宿业等相关产业的发展，实现乡村产业兴旺繁荣。</w:t>
      </w:r>
    </w:p>
    <w:p>
      <w:pPr>
        <w:pStyle w:val="11"/>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（3）探索发展工业体验游。</w:t>
      </w:r>
      <w:r>
        <w:rPr>
          <w:rFonts w:hint="default" w:ascii="Times New Roman" w:hAnsi="Times New Roman" w:cs="Times New Roman"/>
          <w:b w:val="0"/>
          <w:bCs w:val="0"/>
          <w:snapToGrid w:val="0"/>
          <w:color w:val="000000"/>
          <w:spacing w:val="-6"/>
          <w:kern w:val="0"/>
          <w:sz w:val="32"/>
          <w:szCs w:val="32"/>
          <w:u w:val="none" w:color="auto"/>
          <w:lang w:val="en-US" w:eastAsia="zh-CN" w:bidi="ar-SA"/>
        </w:rPr>
        <w:t>积极借鉴青岛啤酒、海尔集团在发展工业旅游方面的先进经验，</w:t>
      </w:r>
      <w:r>
        <w:rPr>
          <w:rFonts w:hint="default" w:ascii="Times New Roman" w:hAnsi="Times New Roman" w:cs="Times New Roman"/>
          <w:color w:val="000000"/>
          <w:kern w:val="2"/>
          <w:sz w:val="32"/>
          <w:szCs w:val="32"/>
          <w:lang w:val="en-US" w:eastAsia="zh-CN" w:bidi="ar-SA"/>
        </w:rPr>
        <w:t>结合</w:t>
      </w:r>
      <w:r>
        <w:rPr>
          <w:rFonts w:hint="default" w:ascii="Times New Roman" w:hAnsi="Times New Roman" w:eastAsia="仿宋_GB2312" w:cs="Times New Roman"/>
          <w:color w:val="000000"/>
          <w:kern w:val="2"/>
          <w:sz w:val="32"/>
          <w:szCs w:val="32"/>
          <w:lang w:val="en-US" w:eastAsia="zh-CN" w:bidi="ar-SA"/>
        </w:rPr>
        <w:t>辖区现有工业资源，将其</w:t>
      </w:r>
      <w:r>
        <w:rPr>
          <w:rFonts w:hint="default" w:ascii="Times New Roman" w:hAnsi="Times New Roman" w:cs="Times New Roman"/>
          <w:color w:val="000000"/>
          <w:kern w:val="2"/>
          <w:sz w:val="32"/>
          <w:szCs w:val="32"/>
          <w:lang w:val="en-US" w:eastAsia="zh-CN" w:bidi="ar-SA"/>
        </w:rPr>
        <w:t>打造</w:t>
      </w:r>
      <w:r>
        <w:rPr>
          <w:rFonts w:hint="default" w:ascii="Times New Roman" w:hAnsi="Times New Roman" w:eastAsia="仿宋_GB2312" w:cs="Times New Roman"/>
          <w:color w:val="000000"/>
          <w:kern w:val="2"/>
          <w:sz w:val="32"/>
          <w:szCs w:val="32"/>
          <w:lang w:val="en-US" w:eastAsia="zh-CN" w:bidi="ar-SA"/>
        </w:rPr>
        <w:t>成具有观光、休闲价值的旅游点位</w:t>
      </w:r>
      <w:r>
        <w:rPr>
          <w:rFonts w:hint="default" w:ascii="Times New Roman" w:hAnsi="Times New Roman" w:cs="Times New Roman"/>
          <w:color w:val="000000"/>
          <w:kern w:val="2"/>
          <w:sz w:val="32"/>
          <w:szCs w:val="32"/>
          <w:lang w:val="en-US" w:eastAsia="zh-CN" w:bidi="ar-SA"/>
        </w:rPr>
        <w:t>，实现串联发展，</w:t>
      </w:r>
      <w:r>
        <w:rPr>
          <w:rFonts w:hint="default" w:ascii="Times New Roman" w:hAnsi="Times New Roman" w:eastAsia="仿宋_GB2312" w:cs="Times New Roman"/>
          <w:color w:val="000000"/>
          <w:kern w:val="2"/>
          <w:sz w:val="32"/>
          <w:szCs w:val="32"/>
          <w:lang w:val="en-US" w:eastAsia="zh-CN" w:bidi="ar-SA"/>
        </w:rPr>
        <w:t>让消费者体验生产制造过程中的乐趣。</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000000"/>
          <w:lang w:val="en-US" w:eastAsia="zh-CN"/>
        </w:rPr>
      </w:pPr>
      <w:r>
        <w:rPr>
          <w:rFonts w:hint="default" w:ascii="Times New Roman" w:hAnsi="Times New Roman" w:eastAsia="方正楷体简体" w:cs="Times New Roman"/>
          <w:b/>
          <w:bCs/>
          <w:color w:val="000000"/>
          <w:sz w:val="32"/>
          <w:szCs w:val="32"/>
          <w:lang w:val="en-US" w:eastAsia="zh-CN"/>
        </w:rPr>
        <w:t>（一）强化组织领导。</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成立高新区现代服务业高质量发展领导小组，党工委管委会主要领导任组长，分管领导任副组长，各相关职能部门为成员，切实抓好服务业发展的规划、统筹、协调、指导等一系列工作，并在区经合中心设立领导小组办公室，具体负责做好推进第三产业发展的分析研判、统筹协调、精准调度等日常工作。同时，</w:t>
      </w:r>
      <w:r>
        <w:rPr>
          <w:rFonts w:hint="default" w:ascii="Times New Roman" w:hAnsi="Times New Roman" w:eastAsia="仿宋_GB2312" w:cs="Times New Roman"/>
          <w:color w:val="000000"/>
          <w:kern w:val="2"/>
          <w:sz w:val="32"/>
          <w:szCs w:val="32"/>
          <w:lang w:val="en-US" w:eastAsia="zh-CN" w:bidi="ar-SA"/>
        </w:rPr>
        <w:t>建立协调会制度，及时解决服务业发展中的突</w:t>
      </w:r>
      <w:r>
        <w:rPr>
          <w:rFonts w:hint="default" w:ascii="Times New Roman" w:hAnsi="Times New Roman" w:eastAsia="仿宋_GB2312" w:cs="Times New Roman"/>
          <w:color w:val="000000"/>
          <w:w w:val="96"/>
          <w:kern w:val="2"/>
          <w:sz w:val="32"/>
          <w:szCs w:val="32"/>
          <w:lang w:val="en-US" w:eastAsia="zh-CN" w:bidi="ar-SA"/>
        </w:rPr>
        <w:t>出问题，研究促进各项工作任务落实，积极推进服务业高质量发展。</w:t>
      </w:r>
      <w:r>
        <w:rPr>
          <w:rFonts w:hint="default" w:ascii="Times New Roman" w:hAnsi="Times New Roman" w:eastAsia="方正仿宋简体" w:cs="Times New Roman"/>
          <w:b w:val="0"/>
          <w:bCs w:val="0"/>
          <w:color w:val="000000"/>
          <w:w w:val="96"/>
          <w:kern w:val="2"/>
          <w:sz w:val="32"/>
          <w:szCs w:val="32"/>
          <w:lang w:val="en-US" w:eastAsia="zh-CN" w:bidi="ar-SA"/>
        </w:rPr>
        <w:t xml:space="preserve">  </w:t>
      </w:r>
    </w:p>
    <w:p>
      <w:pPr>
        <w:keepNext w:val="0"/>
        <w:keepLines w:val="0"/>
        <w:pageBreakBefore w:val="0"/>
        <w:widowControl w:val="0"/>
        <w:numPr>
          <w:ilvl w:val="0"/>
          <w:numId w:val="0"/>
        </w:numPr>
        <w:kinsoku/>
        <w:wordWrap/>
        <w:topLinePunct w:val="0"/>
        <w:autoSpaceDE/>
        <w:autoSpaceDN/>
        <w:bidi w:val="0"/>
        <w:adjustRightInd/>
        <w:spacing w:line="574" w:lineRule="exact"/>
        <w:ind w:firstLine="643" w:firstLineChars="200"/>
        <w:textAlignment w:val="auto"/>
        <w:rPr>
          <w:rFonts w:hint="default" w:ascii="Times New Roman" w:hAnsi="Times New Roman" w:eastAsia="仿宋_GB2312" w:cs="Times New Roman"/>
          <w:b w:val="0"/>
          <w:bCs w:val="0"/>
          <w:i w:val="0"/>
          <w:caps w:val="0"/>
          <w:color w:val="000000"/>
          <w:spacing w:val="0"/>
          <w:w w:val="100"/>
          <w:kern w:val="2"/>
          <w:sz w:val="32"/>
          <w:szCs w:val="32"/>
          <w:lang w:val="en-US" w:eastAsia="zh-CN" w:bidi="ar-SA"/>
        </w:rPr>
      </w:pPr>
      <w:r>
        <w:rPr>
          <w:rFonts w:hint="default" w:ascii="Times New Roman" w:hAnsi="Times New Roman" w:eastAsia="方正楷体简体" w:cs="Times New Roman"/>
          <w:b/>
          <w:bCs/>
          <w:color w:val="000000"/>
          <w:sz w:val="32"/>
          <w:szCs w:val="32"/>
          <w:lang w:val="en-US" w:eastAsia="zh-CN"/>
        </w:rPr>
        <w:t>（二）强化统筹推进。</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区服务业发展领导小组办公室将23项服务业指标一一分解落实到相</w:t>
      </w:r>
      <w:r>
        <w:rPr>
          <w:rFonts w:hint="default" w:ascii="Times New Roman" w:hAnsi="Times New Roman" w:eastAsia="仿宋_GB2312" w:cs="Times New Roman"/>
          <w:color w:val="000000"/>
          <w:kern w:val="2"/>
          <w:sz w:val="32"/>
          <w:szCs w:val="32"/>
          <w:lang w:val="en-US" w:eastAsia="zh-CN" w:bidi="ar-SA"/>
        </w:rPr>
        <w:t>关职能部门，加强对年度</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服务业工作的统筹、指导和考核，全面形成经合中心牵总、多个部门共抓的服务业发展新格局。同时。区服务业发展领导小组办公室要加强统筹协调，建立区领导联系指导“3+5”重点行业发展推进机制，制定分工方案。区级有关部门要制订重点行业培育方案及具体措施，确保各项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i w:val="0"/>
          <w:caps w:val="0"/>
          <w:color w:val="000000"/>
          <w:spacing w:val="0"/>
          <w:w w:val="100"/>
          <w:kern w:val="2"/>
          <w:sz w:val="32"/>
          <w:szCs w:val="32"/>
          <w:lang w:val="en-US" w:eastAsia="zh-CN" w:bidi="ar-SA"/>
        </w:rPr>
      </w:pPr>
      <w:r>
        <w:rPr>
          <w:rFonts w:hint="default" w:ascii="Times New Roman" w:hAnsi="Times New Roman" w:eastAsia="方正楷体简体" w:cs="Times New Roman"/>
          <w:b/>
          <w:bCs/>
          <w:color w:val="000000"/>
          <w:sz w:val="32"/>
          <w:szCs w:val="32"/>
          <w:lang w:val="en-US" w:eastAsia="zh-CN"/>
        </w:rPr>
        <w:t>（三）强化主体培育。</w:t>
      </w:r>
      <w:r>
        <w:rPr>
          <w:rFonts w:hint="eastAsia" w:ascii="仿宋_GB2312" w:hAnsi="仿宋_GB2312" w:eastAsia="仿宋_GB2312" w:cs="仿宋_GB2312"/>
          <w:b w:val="0"/>
          <w:bCs w:val="0"/>
          <w:color w:val="000000"/>
          <w:sz w:val="32"/>
          <w:szCs w:val="32"/>
          <w:lang w:val="en-US" w:eastAsia="zh-CN"/>
        </w:rPr>
        <w:t>制</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定服务业企业精准帮扶方案，细化精准帮扶责任清单，从政策上、资金上、用工上、环境上全方位帮扶现有服务业企业，找准症结，打通发展中遇到的堵点和痛点，迅速壮大体量。对外招引一批服务业知名企业入驻。同时，对辖</w:t>
      </w:r>
      <w:r>
        <w:rPr>
          <w:rFonts w:hint="default" w:ascii="Times New Roman" w:hAnsi="Times New Roman" w:eastAsia="仿宋_GB2312" w:cs="Times New Roman"/>
          <w:b w:val="0"/>
          <w:bCs w:val="0"/>
          <w:i w:val="0"/>
          <w:caps w:val="0"/>
          <w:color w:val="000000"/>
          <w:spacing w:val="0"/>
          <w:w w:val="102"/>
          <w:kern w:val="2"/>
          <w:sz w:val="32"/>
          <w:szCs w:val="32"/>
          <w:lang w:val="en-US" w:eastAsia="zh-CN" w:bidi="ar-SA"/>
        </w:rPr>
        <w:t>区服务业企业开展全面普查梳理，筛选录入升规入统企业储备库，</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开展针对性重点支持和培育。到2025年，新增规（限）上企业100家。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楷体简体" w:cs="Times New Roman"/>
          <w:b/>
          <w:bCs/>
          <w:color w:val="000000"/>
          <w:sz w:val="32"/>
          <w:szCs w:val="32"/>
          <w:lang w:val="en-US" w:eastAsia="zh-CN"/>
        </w:rPr>
        <w:t>（四）强化资金支持。</w:t>
      </w:r>
      <w:r>
        <w:rPr>
          <w:rFonts w:hint="default" w:ascii="Times New Roman" w:hAnsi="Times New Roman" w:eastAsia="仿宋_GB2312" w:cs="Times New Roman"/>
          <w:b w:val="0"/>
          <w:bCs w:val="0"/>
          <w:i w:val="0"/>
          <w:caps w:val="0"/>
          <w:color w:val="000000"/>
          <w:spacing w:val="0"/>
          <w:w w:val="100"/>
          <w:kern w:val="2"/>
          <w:sz w:val="32"/>
          <w:szCs w:val="32"/>
          <w:lang w:val="en-US" w:eastAsia="zh-CN" w:bidi="ar-SA"/>
        </w:rPr>
        <w:t>按照省市要求，学习借鉴兄弟县区的做法，设立区级服务业发展专项资金，每年不低于500万元并随经济增长而增加，重点支持服务业企业招引、品牌提升、升规入统、做大做强、提质增效。持续推进服务业“三重工程”（即服务业重点集聚区、服务业重点项目、服务业重点企业）</w:t>
      </w:r>
      <w:r>
        <w:rPr>
          <w:rFonts w:hint="default" w:ascii="Times New Roman" w:hAnsi="Times New Roman" w:eastAsia="仿宋_GB2312" w:cs="Times New Roman"/>
          <w:color w:val="000000"/>
          <w:kern w:val="2"/>
          <w:sz w:val="32"/>
          <w:szCs w:val="32"/>
          <w:lang w:val="en-US" w:eastAsia="zh-CN" w:bidi="ar-SA"/>
        </w:rPr>
        <w:t>建设，统筹区级服务业发展资金，大力支持“3+5”重点行业发展、重点项目建设、市场主体培育和品牌培塑。对符合条件的服务业企业融资、用电、房租等要素成本，按政策由区财政给予补助。</w:t>
      </w:r>
    </w:p>
    <w:p>
      <w:pPr>
        <w:keepNext w:val="0"/>
        <w:keepLines w:val="0"/>
        <w:pageBreakBefore w:val="0"/>
        <w:widowControl w:val="0"/>
        <w:numPr>
          <w:ilvl w:val="0"/>
          <w:numId w:val="0"/>
        </w:numPr>
        <w:kinsoku/>
        <w:wordWrap/>
        <w:topLinePunct w:val="0"/>
        <w:autoSpaceDE/>
        <w:autoSpaceDN/>
        <w:bidi w:val="0"/>
        <w:adjustRightInd/>
        <w:spacing w:line="574"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方正楷体简体" w:cs="Times New Roman"/>
          <w:b/>
          <w:bCs/>
          <w:color w:val="000000"/>
          <w:sz w:val="32"/>
          <w:szCs w:val="32"/>
          <w:lang w:val="en-US" w:eastAsia="zh-CN"/>
        </w:rPr>
        <w:t>（五）强化要素保障。</w:t>
      </w:r>
      <w:r>
        <w:rPr>
          <w:rFonts w:hint="eastAsia" w:ascii="仿宋_GB2312" w:hAnsi="仿宋_GB2312" w:eastAsia="仿宋_GB2312" w:cs="仿宋_GB2312"/>
          <w:b w:val="0"/>
          <w:bCs w:val="0"/>
          <w:color w:val="000000"/>
          <w:sz w:val="32"/>
          <w:szCs w:val="32"/>
          <w:lang w:val="en-US" w:eastAsia="zh-CN"/>
        </w:rPr>
        <w:t>强化用地保障，坚持“要素跟着项目走”，以项目落地作为配置用地计划指标的依据。强化资本要素保障，鼓励服务业企业借助多层次资本市场直接融资。强化水电市场化保障，落实国家鼓励类服务业用水与工业同价政策，鼓励符合条件的服务业企业参加电力市场化交易，落实社区养老服务机构水电气价格优惠政策。强化人才智力支撑，加大现代服务业“高精尖缺”人才引进力度，实施高层次人才创业团队引进计划、领军计划，着力引进服务业高层次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方正楷体简体" w:cs="Times New Roman"/>
          <w:b/>
          <w:bCs/>
          <w:color w:val="000000"/>
          <w:sz w:val="32"/>
          <w:szCs w:val="32"/>
          <w:lang w:val="en-US" w:eastAsia="zh-CN"/>
        </w:rPr>
        <w:t>（六）强化统计协同。</w:t>
      </w:r>
      <w:r>
        <w:rPr>
          <w:rFonts w:hint="default" w:ascii="Times New Roman" w:hAnsi="Times New Roman" w:eastAsia="仿宋_GB2312" w:cs="Times New Roman"/>
          <w:b w:val="0"/>
          <w:bCs w:val="0"/>
          <w:color w:val="000000"/>
          <w:w w:val="102"/>
          <w:sz w:val="32"/>
          <w:szCs w:val="32"/>
          <w:lang w:val="en-US" w:eastAsia="zh-CN"/>
        </w:rPr>
        <w:t>建立健全“3+5”重点行业管理所需指</w:t>
      </w:r>
      <w:r>
        <w:rPr>
          <w:rFonts w:hint="default" w:ascii="Times New Roman" w:hAnsi="Times New Roman" w:eastAsia="仿宋_GB2312" w:cs="Times New Roman"/>
          <w:b w:val="0"/>
          <w:bCs w:val="0"/>
          <w:color w:val="000000"/>
          <w:w w:val="100"/>
          <w:sz w:val="32"/>
          <w:szCs w:val="32"/>
          <w:lang w:val="en-US" w:eastAsia="zh-CN"/>
        </w:rPr>
        <w:t>标和国民经济核算所需基础指标相结合的统计指标体系，建立</w:t>
      </w:r>
      <w:r>
        <w:rPr>
          <w:rFonts w:hint="default" w:ascii="Times New Roman" w:hAnsi="Times New Roman" w:eastAsia="仿宋_GB2312" w:cs="Times New Roman"/>
          <w:b w:val="0"/>
          <w:bCs w:val="0"/>
          <w:color w:val="000000"/>
          <w:w w:val="102"/>
          <w:sz w:val="32"/>
          <w:szCs w:val="32"/>
          <w:lang w:val="en-US" w:eastAsia="zh-CN"/>
        </w:rPr>
        <w:t>健全</w:t>
      </w:r>
      <w:r>
        <w:rPr>
          <w:rFonts w:hint="default" w:ascii="Times New Roman" w:hAnsi="Times New Roman" w:eastAsia="仿宋_GB2312" w:cs="Times New Roman"/>
          <w:b w:val="0"/>
          <w:bCs w:val="0"/>
          <w:color w:val="000000"/>
          <w:sz w:val="32"/>
          <w:szCs w:val="32"/>
          <w:lang w:val="en-US" w:eastAsia="zh-CN"/>
        </w:rPr>
        <w:t>全面调查、抽样调查和重点调查相结合的统计调查方法体系。建立健全服务业基本单位名录库月度更行维护机制，着力优化规模以下服务业企业、限额以下商贸流通企业抽样调查名录库，提升统计工作质量。</w:t>
      </w:r>
    </w:p>
    <w:p>
      <w:pPr>
        <w:pStyle w:val="8"/>
        <w:keepNext w:val="0"/>
        <w:keepLines w:val="0"/>
        <w:pageBreakBefore w:val="0"/>
        <w:widowControl w:val="0"/>
        <w:numPr>
          <w:ilvl w:val="0"/>
          <w:numId w:val="0"/>
        </w:numPr>
        <w:kinsoku/>
        <w:wordWrap/>
        <w:overflowPunct/>
        <w:topLinePunct w:val="0"/>
        <w:autoSpaceDE/>
        <w:autoSpaceDN/>
        <w:bidi w:val="0"/>
        <w:adjustRightInd/>
        <w:spacing w:line="574"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方正楷体简体" w:cs="Times New Roman"/>
          <w:b w:val="0"/>
          <w:bCs w:val="0"/>
          <w:color w:val="000000"/>
          <w:kern w:val="2"/>
          <w:sz w:val="32"/>
          <w:szCs w:val="32"/>
          <w:lang w:val="en-US" w:eastAsia="zh-CN" w:bidi="ar-SA"/>
        </w:rPr>
        <w:t>（七）强化营商服务。</w:t>
      </w:r>
      <w:r>
        <w:rPr>
          <w:rFonts w:hint="default" w:ascii="Times New Roman" w:hAnsi="Times New Roman" w:eastAsia="仿宋_GB2312" w:cs="Times New Roman"/>
          <w:color w:val="000000"/>
          <w:kern w:val="2"/>
          <w:sz w:val="32"/>
          <w:szCs w:val="32"/>
          <w:lang w:val="en-US" w:eastAsia="zh-CN" w:bidi="ar-SA"/>
        </w:rPr>
        <w:t>稳步推进“放管服”改革，全面实施市场准入负面清单制度，规范市场准入程序，推动“非禁即入”普遍落实。强化事中事后监管，实行“双随机+联合检查”，建立健全第三方专业机构参与市场监管制度安排。深化商事制度改革，推进企业登记全程电子化和电子营业执照。健全守信激励和失信惩戒机制，完善消费领域信用信息共享共用机制，实行“绿色”通道或信用分类监管等差别措施。</w:t>
      </w:r>
    </w:p>
    <w:p>
      <w:pPr>
        <w:pStyle w:val="8"/>
        <w:keepNext w:val="0"/>
        <w:keepLines w:val="0"/>
        <w:pageBreakBefore w:val="0"/>
        <w:widowControl w:val="0"/>
        <w:numPr>
          <w:ilvl w:val="0"/>
          <w:numId w:val="0"/>
        </w:numPr>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方正楷体简体" w:cs="Times New Roman"/>
          <w:b w:val="0"/>
          <w:bCs w:val="0"/>
          <w:color w:val="000000"/>
          <w:kern w:val="2"/>
          <w:sz w:val="32"/>
          <w:szCs w:val="32"/>
          <w:lang w:val="en-US" w:eastAsia="zh-CN" w:bidi="ar-SA"/>
        </w:rPr>
        <w:t>（八）强化督查督办。</w:t>
      </w:r>
      <w:r>
        <w:rPr>
          <w:rFonts w:hint="default" w:ascii="Times New Roman" w:hAnsi="Times New Roman" w:eastAsia="仿宋_GB2312" w:cs="Times New Roman"/>
          <w:color w:val="000000"/>
          <w:kern w:val="2"/>
          <w:sz w:val="32"/>
          <w:szCs w:val="32"/>
          <w:lang w:val="en-US" w:eastAsia="zh-CN" w:bidi="ar-SA"/>
        </w:rPr>
        <w:t>加强服务业发展绩效考核评价工作，将服务业考核纳入管委会对各地各部门年度目标考核，强化督办和年终考核评价工作。管委会将组建专班不定期对各地各部门任务推进落实情况进行检查督办，并将工作进展情况在全区进行通报。</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4" w:lineRule="exact"/>
        <w:ind w:firstLine="360" w:firstLineChars="200"/>
        <w:jc w:val="both"/>
        <w:textAlignment w:val="auto"/>
        <w:rPr>
          <w:rFonts w:hint="default" w:ascii="Times New Roman" w:hAnsi="Times New Roman" w:cs="Times New Roman"/>
          <w:color w:val="000000"/>
          <w:lang w:val="en-US" w:eastAsia="zh-CN"/>
        </w:rPr>
      </w:pPr>
    </w:p>
    <w:p>
      <w:pPr>
        <w:rPr>
          <w:rFonts w:hint="default"/>
          <w:lang w:val="en-US" w:eastAsia="zh-CN"/>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w w:val="78"/>
          <w:kern w:val="2"/>
          <w:sz w:val="32"/>
          <w:szCs w:val="32"/>
          <w:lang w:val="en-US" w:eastAsia="zh-CN" w:bidi="ar-SA"/>
        </w:rPr>
      </w:pPr>
      <w:r>
        <w:rPr>
          <w:rFonts w:hint="default" w:ascii="Times New Roman" w:hAnsi="Times New Roman" w:eastAsia="仿宋_GB2312" w:cs="Times New Roman"/>
          <w:w w:val="78"/>
          <w:kern w:val="2"/>
          <w:sz w:val="32"/>
          <w:szCs w:val="32"/>
          <w:lang w:val="en-US" w:eastAsia="zh-CN" w:bidi="ar-SA"/>
        </w:rPr>
        <w:t>中共达州高新技术产业园区工作委员会   达州高新技术产业园区管理委员会</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w:t>
      </w:r>
      <w:r>
        <w:rPr>
          <w:rFonts w:hint="eastAsia"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 xml:space="preserve">3 </w:t>
      </w:r>
      <w:r>
        <w:rPr>
          <w:rFonts w:hint="default" w:ascii="Times New Roman" w:hAnsi="Times New Roman" w:eastAsia="仿宋_GB2312" w:cs="Times New Roman"/>
          <w:kern w:val="2"/>
          <w:sz w:val="32"/>
          <w:szCs w:val="32"/>
          <w:lang w:val="en-US" w:eastAsia="zh-CN" w:bidi="ar-SA"/>
        </w:rPr>
        <w:t>日</w:t>
      </w:r>
    </w:p>
    <w:p>
      <w:pPr>
        <w:pStyle w:val="8"/>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方正楷体简体" w:cs="Times New Roman"/>
          <w:b w:val="0"/>
          <w:bCs w:val="0"/>
          <w:color w:val="000000"/>
          <w:kern w:val="2"/>
          <w:sz w:val="32"/>
          <w:szCs w:val="32"/>
          <w:lang w:val="en-US" w:eastAsia="zh-CN" w:bidi="ar-SA"/>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B34DCF9-D07D-43C5-8764-19970DB326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embedRegular r:id="rId2" w:fontKey="{BFCE0003-3DC4-42A7-BD7F-5954494A17CC}"/>
  </w:font>
  <w:font w:name="仿宋_GB2312">
    <w:panose1 w:val="02010609030101010101"/>
    <w:charset w:val="86"/>
    <w:family w:val="modern"/>
    <w:pitch w:val="default"/>
    <w:sig w:usb0="00000001" w:usb1="080E0000" w:usb2="00000000" w:usb3="00000000" w:csb0="00040000" w:csb1="00000000"/>
    <w:embedRegular r:id="rId3" w:fontKey="{9657D8A0-895D-4E54-9328-97017377283D}"/>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4" w:fontKey="{35CBDE40-9BB9-4A5A-BDCF-06004A733211}"/>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9BAAA798-7E6C-42B3-9F93-7F8AA68B6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8"/>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543E7"/>
    <w:multiLevelType w:val="singleLevel"/>
    <w:tmpl w:val="5CE543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E4MjUyYmJkYjNjMDM4MzgwMTA1OWRiOTYxY2MifQ=="/>
  </w:docVars>
  <w:rsids>
    <w:rsidRoot w:val="00172A27"/>
    <w:rsid w:val="00264BF8"/>
    <w:rsid w:val="004B48CF"/>
    <w:rsid w:val="00B231B0"/>
    <w:rsid w:val="01114BBC"/>
    <w:rsid w:val="011B4C0A"/>
    <w:rsid w:val="01635C49"/>
    <w:rsid w:val="0177662E"/>
    <w:rsid w:val="01947D97"/>
    <w:rsid w:val="01B13891"/>
    <w:rsid w:val="01C54B55"/>
    <w:rsid w:val="02094A42"/>
    <w:rsid w:val="025657AD"/>
    <w:rsid w:val="02C941D1"/>
    <w:rsid w:val="02CE513E"/>
    <w:rsid w:val="02DA018C"/>
    <w:rsid w:val="02E97C3D"/>
    <w:rsid w:val="02F774EE"/>
    <w:rsid w:val="03065425"/>
    <w:rsid w:val="03396ED5"/>
    <w:rsid w:val="033F7AFD"/>
    <w:rsid w:val="03B25D31"/>
    <w:rsid w:val="03C52230"/>
    <w:rsid w:val="03C73AA7"/>
    <w:rsid w:val="0429465C"/>
    <w:rsid w:val="042A0CA0"/>
    <w:rsid w:val="04380670"/>
    <w:rsid w:val="043A35D9"/>
    <w:rsid w:val="047514F9"/>
    <w:rsid w:val="04A24CDA"/>
    <w:rsid w:val="04A46F64"/>
    <w:rsid w:val="04E604BE"/>
    <w:rsid w:val="050102EF"/>
    <w:rsid w:val="054B2F85"/>
    <w:rsid w:val="06384CF2"/>
    <w:rsid w:val="063B7194"/>
    <w:rsid w:val="0642797C"/>
    <w:rsid w:val="06450013"/>
    <w:rsid w:val="06525CD6"/>
    <w:rsid w:val="06840B3B"/>
    <w:rsid w:val="0737795B"/>
    <w:rsid w:val="078F5F85"/>
    <w:rsid w:val="0801269C"/>
    <w:rsid w:val="085C5985"/>
    <w:rsid w:val="08B03E69"/>
    <w:rsid w:val="08DB6A0C"/>
    <w:rsid w:val="09235D1F"/>
    <w:rsid w:val="09B2164C"/>
    <w:rsid w:val="09BA12C3"/>
    <w:rsid w:val="09D10556"/>
    <w:rsid w:val="09D3581E"/>
    <w:rsid w:val="0A6767AA"/>
    <w:rsid w:val="0A6A53F4"/>
    <w:rsid w:val="0A7669ED"/>
    <w:rsid w:val="0A8F2AED"/>
    <w:rsid w:val="0AAC744F"/>
    <w:rsid w:val="0ACA64EC"/>
    <w:rsid w:val="0AF10769"/>
    <w:rsid w:val="0B5F7F25"/>
    <w:rsid w:val="0B6B2829"/>
    <w:rsid w:val="0B750233"/>
    <w:rsid w:val="0BBA59CF"/>
    <w:rsid w:val="0BD95DA6"/>
    <w:rsid w:val="0BE755AB"/>
    <w:rsid w:val="0C1875C8"/>
    <w:rsid w:val="0C3C3C66"/>
    <w:rsid w:val="0C6A78DD"/>
    <w:rsid w:val="0CBD286A"/>
    <w:rsid w:val="0CEE5CFC"/>
    <w:rsid w:val="0D010302"/>
    <w:rsid w:val="0D2B7F62"/>
    <w:rsid w:val="0D5C45C0"/>
    <w:rsid w:val="0D5D3EFB"/>
    <w:rsid w:val="0DD127D3"/>
    <w:rsid w:val="0DF90490"/>
    <w:rsid w:val="0DFE11D3"/>
    <w:rsid w:val="0E0176DD"/>
    <w:rsid w:val="0E175578"/>
    <w:rsid w:val="0E4F021D"/>
    <w:rsid w:val="0ED75638"/>
    <w:rsid w:val="0F050467"/>
    <w:rsid w:val="0F4251AD"/>
    <w:rsid w:val="0FC30926"/>
    <w:rsid w:val="0FD50180"/>
    <w:rsid w:val="101271B8"/>
    <w:rsid w:val="1032785A"/>
    <w:rsid w:val="10406E12"/>
    <w:rsid w:val="1090632E"/>
    <w:rsid w:val="10C477BF"/>
    <w:rsid w:val="10F639FD"/>
    <w:rsid w:val="11065E1A"/>
    <w:rsid w:val="111435F5"/>
    <w:rsid w:val="112C6057"/>
    <w:rsid w:val="112F5B47"/>
    <w:rsid w:val="115630D4"/>
    <w:rsid w:val="11A77CAD"/>
    <w:rsid w:val="11B6426A"/>
    <w:rsid w:val="11BD75F7"/>
    <w:rsid w:val="11DD054D"/>
    <w:rsid w:val="11E77BA2"/>
    <w:rsid w:val="11ED5520"/>
    <w:rsid w:val="12042BB0"/>
    <w:rsid w:val="120B0362"/>
    <w:rsid w:val="12CC7AF2"/>
    <w:rsid w:val="12EA61CA"/>
    <w:rsid w:val="13286CF2"/>
    <w:rsid w:val="133E0E6F"/>
    <w:rsid w:val="138110E9"/>
    <w:rsid w:val="13857CA0"/>
    <w:rsid w:val="13B03B6C"/>
    <w:rsid w:val="13BA3DEE"/>
    <w:rsid w:val="13E76C79"/>
    <w:rsid w:val="1447621E"/>
    <w:rsid w:val="14764C78"/>
    <w:rsid w:val="14787805"/>
    <w:rsid w:val="14926B19"/>
    <w:rsid w:val="14953848"/>
    <w:rsid w:val="14D2234A"/>
    <w:rsid w:val="14D233B9"/>
    <w:rsid w:val="15847C99"/>
    <w:rsid w:val="15A4687C"/>
    <w:rsid w:val="15FA6724"/>
    <w:rsid w:val="160A76FA"/>
    <w:rsid w:val="160D136B"/>
    <w:rsid w:val="1631417E"/>
    <w:rsid w:val="16726C02"/>
    <w:rsid w:val="168E50BE"/>
    <w:rsid w:val="16B56AEF"/>
    <w:rsid w:val="16DC15C5"/>
    <w:rsid w:val="175458E9"/>
    <w:rsid w:val="175C56A1"/>
    <w:rsid w:val="17EA592D"/>
    <w:rsid w:val="180A2E6A"/>
    <w:rsid w:val="18DE5EB3"/>
    <w:rsid w:val="1983289A"/>
    <w:rsid w:val="198D1974"/>
    <w:rsid w:val="19C534ED"/>
    <w:rsid w:val="19EF2361"/>
    <w:rsid w:val="1A3831D3"/>
    <w:rsid w:val="1A522FEA"/>
    <w:rsid w:val="1A5B5BFF"/>
    <w:rsid w:val="1A84513A"/>
    <w:rsid w:val="1A84611D"/>
    <w:rsid w:val="1B0052BE"/>
    <w:rsid w:val="1B282F37"/>
    <w:rsid w:val="1B9E5DA3"/>
    <w:rsid w:val="1BC60BA7"/>
    <w:rsid w:val="1BD60840"/>
    <w:rsid w:val="1BEB4C29"/>
    <w:rsid w:val="1BFD04F9"/>
    <w:rsid w:val="1C0F68B1"/>
    <w:rsid w:val="1C536B8E"/>
    <w:rsid w:val="1C7D3C0B"/>
    <w:rsid w:val="1D046632"/>
    <w:rsid w:val="1D372C2F"/>
    <w:rsid w:val="1D804322"/>
    <w:rsid w:val="1D9E15BC"/>
    <w:rsid w:val="1DB710DA"/>
    <w:rsid w:val="1DB833CE"/>
    <w:rsid w:val="1DF60118"/>
    <w:rsid w:val="1E013A44"/>
    <w:rsid w:val="1E067E42"/>
    <w:rsid w:val="1E1E28AB"/>
    <w:rsid w:val="1E8A2746"/>
    <w:rsid w:val="1E9D4CEF"/>
    <w:rsid w:val="1EC2509B"/>
    <w:rsid w:val="1F004588"/>
    <w:rsid w:val="1F573FD0"/>
    <w:rsid w:val="1F775526"/>
    <w:rsid w:val="1FDE2C12"/>
    <w:rsid w:val="1FE31D70"/>
    <w:rsid w:val="1FEE3382"/>
    <w:rsid w:val="20216213"/>
    <w:rsid w:val="20992FDD"/>
    <w:rsid w:val="20A54437"/>
    <w:rsid w:val="20CC5161"/>
    <w:rsid w:val="20CE5828"/>
    <w:rsid w:val="20E70C92"/>
    <w:rsid w:val="20EE4074"/>
    <w:rsid w:val="21677A63"/>
    <w:rsid w:val="218168EB"/>
    <w:rsid w:val="21BF6A73"/>
    <w:rsid w:val="21D37C47"/>
    <w:rsid w:val="21E22781"/>
    <w:rsid w:val="21F04BAD"/>
    <w:rsid w:val="225E628C"/>
    <w:rsid w:val="229F76EC"/>
    <w:rsid w:val="22A17D7E"/>
    <w:rsid w:val="22A97448"/>
    <w:rsid w:val="237713E6"/>
    <w:rsid w:val="23FF1005"/>
    <w:rsid w:val="241412F8"/>
    <w:rsid w:val="2443399D"/>
    <w:rsid w:val="24761FCE"/>
    <w:rsid w:val="24B259E8"/>
    <w:rsid w:val="255B6AB3"/>
    <w:rsid w:val="25687BCF"/>
    <w:rsid w:val="25725DA4"/>
    <w:rsid w:val="25EC025F"/>
    <w:rsid w:val="266A28FC"/>
    <w:rsid w:val="274F21BC"/>
    <w:rsid w:val="27CD1995"/>
    <w:rsid w:val="27CE5C62"/>
    <w:rsid w:val="27DF26A1"/>
    <w:rsid w:val="28025D57"/>
    <w:rsid w:val="2835183D"/>
    <w:rsid w:val="28520641"/>
    <w:rsid w:val="28CB3175"/>
    <w:rsid w:val="28D6498F"/>
    <w:rsid w:val="290077C9"/>
    <w:rsid w:val="29172B82"/>
    <w:rsid w:val="29193321"/>
    <w:rsid w:val="292B5371"/>
    <w:rsid w:val="292D3813"/>
    <w:rsid w:val="2A783C63"/>
    <w:rsid w:val="2AF50005"/>
    <w:rsid w:val="2AF70B20"/>
    <w:rsid w:val="2B345DDC"/>
    <w:rsid w:val="2B5A4C25"/>
    <w:rsid w:val="2B626DED"/>
    <w:rsid w:val="2B77216D"/>
    <w:rsid w:val="2C025EDA"/>
    <w:rsid w:val="2C0C0B07"/>
    <w:rsid w:val="2C6A4425"/>
    <w:rsid w:val="2C92725E"/>
    <w:rsid w:val="2CBF5B79"/>
    <w:rsid w:val="2CC82C80"/>
    <w:rsid w:val="2D215175"/>
    <w:rsid w:val="2D367D6A"/>
    <w:rsid w:val="2D757EA0"/>
    <w:rsid w:val="2D99286E"/>
    <w:rsid w:val="2E0979F4"/>
    <w:rsid w:val="2E227BE5"/>
    <w:rsid w:val="2EA608B9"/>
    <w:rsid w:val="2EB56A6B"/>
    <w:rsid w:val="2F3952DD"/>
    <w:rsid w:val="2F4F1D70"/>
    <w:rsid w:val="2F597C8E"/>
    <w:rsid w:val="2F5C102C"/>
    <w:rsid w:val="2F6D7B0F"/>
    <w:rsid w:val="2F8D3892"/>
    <w:rsid w:val="2FA572A9"/>
    <w:rsid w:val="2FB1053E"/>
    <w:rsid w:val="2FF817EF"/>
    <w:rsid w:val="30372AD4"/>
    <w:rsid w:val="306C6018"/>
    <w:rsid w:val="30764553"/>
    <w:rsid w:val="30896BCA"/>
    <w:rsid w:val="30CB2D3F"/>
    <w:rsid w:val="30D42A97"/>
    <w:rsid w:val="313A4948"/>
    <w:rsid w:val="313B1370"/>
    <w:rsid w:val="314D3BBD"/>
    <w:rsid w:val="31AF717C"/>
    <w:rsid w:val="32273CD5"/>
    <w:rsid w:val="326D68D7"/>
    <w:rsid w:val="3300448E"/>
    <w:rsid w:val="33692E76"/>
    <w:rsid w:val="33813B89"/>
    <w:rsid w:val="340071A3"/>
    <w:rsid w:val="346C65E7"/>
    <w:rsid w:val="34801E9A"/>
    <w:rsid w:val="34A6775B"/>
    <w:rsid w:val="34CF6B76"/>
    <w:rsid w:val="34F62354"/>
    <w:rsid w:val="350B742E"/>
    <w:rsid w:val="35123632"/>
    <w:rsid w:val="353500A4"/>
    <w:rsid w:val="353F2D47"/>
    <w:rsid w:val="3550339D"/>
    <w:rsid w:val="35531555"/>
    <w:rsid w:val="356E54FB"/>
    <w:rsid w:val="358015EF"/>
    <w:rsid w:val="35941D23"/>
    <w:rsid w:val="35B86CFA"/>
    <w:rsid w:val="365437D6"/>
    <w:rsid w:val="36D61B19"/>
    <w:rsid w:val="372570DA"/>
    <w:rsid w:val="37E74926"/>
    <w:rsid w:val="37F3481B"/>
    <w:rsid w:val="386A4EFD"/>
    <w:rsid w:val="38772648"/>
    <w:rsid w:val="38816746"/>
    <w:rsid w:val="38833F08"/>
    <w:rsid w:val="38C369F1"/>
    <w:rsid w:val="39057B9F"/>
    <w:rsid w:val="391275D0"/>
    <w:rsid w:val="39E84962"/>
    <w:rsid w:val="3A5E44D6"/>
    <w:rsid w:val="3A850402"/>
    <w:rsid w:val="3A86417A"/>
    <w:rsid w:val="3ACC52F7"/>
    <w:rsid w:val="3AD56E8B"/>
    <w:rsid w:val="3B1F2605"/>
    <w:rsid w:val="3B3A0290"/>
    <w:rsid w:val="3B903503"/>
    <w:rsid w:val="3C2F09D2"/>
    <w:rsid w:val="3CC76F0B"/>
    <w:rsid w:val="3CE07B72"/>
    <w:rsid w:val="3D424A53"/>
    <w:rsid w:val="3D436353"/>
    <w:rsid w:val="3D8A5D30"/>
    <w:rsid w:val="3D985161"/>
    <w:rsid w:val="3DB82A19"/>
    <w:rsid w:val="3DFF04CC"/>
    <w:rsid w:val="3E322B6D"/>
    <w:rsid w:val="3E4407E4"/>
    <w:rsid w:val="3E563448"/>
    <w:rsid w:val="3EA01CAF"/>
    <w:rsid w:val="3EA77D30"/>
    <w:rsid w:val="3EBC225E"/>
    <w:rsid w:val="3ED43706"/>
    <w:rsid w:val="3EF468B7"/>
    <w:rsid w:val="3F0E61AE"/>
    <w:rsid w:val="3F143319"/>
    <w:rsid w:val="3F395C5F"/>
    <w:rsid w:val="3F4940F4"/>
    <w:rsid w:val="3F581721"/>
    <w:rsid w:val="40183AC7"/>
    <w:rsid w:val="402F3018"/>
    <w:rsid w:val="40316936"/>
    <w:rsid w:val="405E4A6A"/>
    <w:rsid w:val="40E65973"/>
    <w:rsid w:val="40F04DFD"/>
    <w:rsid w:val="410D2F00"/>
    <w:rsid w:val="41436921"/>
    <w:rsid w:val="417866A5"/>
    <w:rsid w:val="41E94305"/>
    <w:rsid w:val="41EC774A"/>
    <w:rsid w:val="41EF42DB"/>
    <w:rsid w:val="4203064F"/>
    <w:rsid w:val="42356B30"/>
    <w:rsid w:val="42644DA1"/>
    <w:rsid w:val="42B37AD7"/>
    <w:rsid w:val="42B45D29"/>
    <w:rsid w:val="42F45E50"/>
    <w:rsid w:val="43014578"/>
    <w:rsid w:val="43845623"/>
    <w:rsid w:val="4393347F"/>
    <w:rsid w:val="43CF4221"/>
    <w:rsid w:val="43EA5872"/>
    <w:rsid w:val="43F053A5"/>
    <w:rsid w:val="44480BFD"/>
    <w:rsid w:val="445175A7"/>
    <w:rsid w:val="448B4867"/>
    <w:rsid w:val="44AC09DE"/>
    <w:rsid w:val="44D60839"/>
    <w:rsid w:val="44E4666D"/>
    <w:rsid w:val="45082E81"/>
    <w:rsid w:val="456B25F5"/>
    <w:rsid w:val="4594599D"/>
    <w:rsid w:val="45C73FC5"/>
    <w:rsid w:val="45CE03E8"/>
    <w:rsid w:val="461D4988"/>
    <w:rsid w:val="46236D21"/>
    <w:rsid w:val="46C10349"/>
    <w:rsid w:val="46EC3C68"/>
    <w:rsid w:val="46F012F9"/>
    <w:rsid w:val="471F398D"/>
    <w:rsid w:val="474B29D4"/>
    <w:rsid w:val="4760179E"/>
    <w:rsid w:val="4766336A"/>
    <w:rsid w:val="477F5219"/>
    <w:rsid w:val="479B154E"/>
    <w:rsid w:val="47BF6A0F"/>
    <w:rsid w:val="47FA5757"/>
    <w:rsid w:val="482E1CCA"/>
    <w:rsid w:val="48D662CD"/>
    <w:rsid w:val="49155047"/>
    <w:rsid w:val="493C49EA"/>
    <w:rsid w:val="49436562"/>
    <w:rsid w:val="4964783F"/>
    <w:rsid w:val="4980497E"/>
    <w:rsid w:val="499A72FA"/>
    <w:rsid w:val="49A16EFF"/>
    <w:rsid w:val="49B44860"/>
    <w:rsid w:val="4A1E7F2C"/>
    <w:rsid w:val="4A2C089A"/>
    <w:rsid w:val="4A5971B6"/>
    <w:rsid w:val="4A8D2C57"/>
    <w:rsid w:val="4AE616BF"/>
    <w:rsid w:val="4B846B28"/>
    <w:rsid w:val="4B8B220B"/>
    <w:rsid w:val="4C3B4DC5"/>
    <w:rsid w:val="4CA0796F"/>
    <w:rsid w:val="4D20220D"/>
    <w:rsid w:val="4D4577F5"/>
    <w:rsid w:val="4D5819A6"/>
    <w:rsid w:val="4D5A6CCA"/>
    <w:rsid w:val="4D6C7200"/>
    <w:rsid w:val="4D7F3164"/>
    <w:rsid w:val="4E1E04FA"/>
    <w:rsid w:val="4E72389F"/>
    <w:rsid w:val="4E902EDD"/>
    <w:rsid w:val="4EE66E4C"/>
    <w:rsid w:val="4EF809F2"/>
    <w:rsid w:val="4F0C2A48"/>
    <w:rsid w:val="4F2C6E14"/>
    <w:rsid w:val="4F703EF6"/>
    <w:rsid w:val="4FB235F0"/>
    <w:rsid w:val="4FE81024"/>
    <w:rsid w:val="50186626"/>
    <w:rsid w:val="506535FD"/>
    <w:rsid w:val="506A211C"/>
    <w:rsid w:val="506C35D0"/>
    <w:rsid w:val="5093764E"/>
    <w:rsid w:val="50E80CEA"/>
    <w:rsid w:val="51037FEF"/>
    <w:rsid w:val="51490F19"/>
    <w:rsid w:val="515D5245"/>
    <w:rsid w:val="518E2E43"/>
    <w:rsid w:val="51BA678C"/>
    <w:rsid w:val="51C17FE2"/>
    <w:rsid w:val="51F03098"/>
    <w:rsid w:val="521C4292"/>
    <w:rsid w:val="522A33CD"/>
    <w:rsid w:val="5235785F"/>
    <w:rsid w:val="52622E1E"/>
    <w:rsid w:val="529328E8"/>
    <w:rsid w:val="52B4142D"/>
    <w:rsid w:val="52E2243E"/>
    <w:rsid w:val="534D3630"/>
    <w:rsid w:val="53C71B6D"/>
    <w:rsid w:val="53C863BB"/>
    <w:rsid w:val="53EB5322"/>
    <w:rsid w:val="547D1CF3"/>
    <w:rsid w:val="548C4936"/>
    <w:rsid w:val="54AF6350"/>
    <w:rsid w:val="54B50B17"/>
    <w:rsid w:val="54C16083"/>
    <w:rsid w:val="54F2448F"/>
    <w:rsid w:val="5548240B"/>
    <w:rsid w:val="55566181"/>
    <w:rsid w:val="55895296"/>
    <w:rsid w:val="55920201"/>
    <w:rsid w:val="55AD439F"/>
    <w:rsid w:val="55DC278E"/>
    <w:rsid w:val="55DD36FD"/>
    <w:rsid w:val="55F21D17"/>
    <w:rsid w:val="561D378D"/>
    <w:rsid w:val="56903F5F"/>
    <w:rsid w:val="56A72890"/>
    <w:rsid w:val="56D91888"/>
    <w:rsid w:val="57525A5D"/>
    <w:rsid w:val="576663D0"/>
    <w:rsid w:val="57A019FF"/>
    <w:rsid w:val="57AA72A2"/>
    <w:rsid w:val="57B207F5"/>
    <w:rsid w:val="57E22784"/>
    <w:rsid w:val="57E6363B"/>
    <w:rsid w:val="57F16238"/>
    <w:rsid w:val="57F30B81"/>
    <w:rsid w:val="580C0A34"/>
    <w:rsid w:val="5812316E"/>
    <w:rsid w:val="582938CF"/>
    <w:rsid w:val="58492617"/>
    <w:rsid w:val="591C4F55"/>
    <w:rsid w:val="59576CE1"/>
    <w:rsid w:val="59731FD0"/>
    <w:rsid w:val="598260B4"/>
    <w:rsid w:val="59E9420D"/>
    <w:rsid w:val="5A4226F8"/>
    <w:rsid w:val="5A822490"/>
    <w:rsid w:val="5A897643"/>
    <w:rsid w:val="5A947C29"/>
    <w:rsid w:val="5AB30458"/>
    <w:rsid w:val="5AE01B5E"/>
    <w:rsid w:val="5AE76897"/>
    <w:rsid w:val="5AE96334"/>
    <w:rsid w:val="5AF2343A"/>
    <w:rsid w:val="5AF50835"/>
    <w:rsid w:val="5AFF16B3"/>
    <w:rsid w:val="5B046CCA"/>
    <w:rsid w:val="5B204595"/>
    <w:rsid w:val="5B2829B8"/>
    <w:rsid w:val="5B4868D5"/>
    <w:rsid w:val="5C1F7771"/>
    <w:rsid w:val="5C282A3E"/>
    <w:rsid w:val="5C5B01E8"/>
    <w:rsid w:val="5C70044B"/>
    <w:rsid w:val="5C7B745F"/>
    <w:rsid w:val="5C875E04"/>
    <w:rsid w:val="5CB36BF9"/>
    <w:rsid w:val="5CFE4EF8"/>
    <w:rsid w:val="5D5A0E23"/>
    <w:rsid w:val="5D744FF6"/>
    <w:rsid w:val="5D775E79"/>
    <w:rsid w:val="5D7B0DD7"/>
    <w:rsid w:val="5D981030"/>
    <w:rsid w:val="5D9C4E46"/>
    <w:rsid w:val="5E146AFE"/>
    <w:rsid w:val="5E3154F6"/>
    <w:rsid w:val="5E647B5B"/>
    <w:rsid w:val="5E714676"/>
    <w:rsid w:val="5EA26F25"/>
    <w:rsid w:val="5EA41152"/>
    <w:rsid w:val="5ED03A93"/>
    <w:rsid w:val="5F546472"/>
    <w:rsid w:val="5F580167"/>
    <w:rsid w:val="5F6D2AB0"/>
    <w:rsid w:val="5F8029B3"/>
    <w:rsid w:val="5FAB5B55"/>
    <w:rsid w:val="5FAC7D7E"/>
    <w:rsid w:val="5FD301E3"/>
    <w:rsid w:val="5FF11F12"/>
    <w:rsid w:val="5FFE462F"/>
    <w:rsid w:val="600D4872"/>
    <w:rsid w:val="612400C6"/>
    <w:rsid w:val="613D1187"/>
    <w:rsid w:val="61490DDC"/>
    <w:rsid w:val="61503657"/>
    <w:rsid w:val="615B0905"/>
    <w:rsid w:val="616404C2"/>
    <w:rsid w:val="61A94127"/>
    <w:rsid w:val="61E26C43"/>
    <w:rsid w:val="61F46ADD"/>
    <w:rsid w:val="62013F63"/>
    <w:rsid w:val="621C2A91"/>
    <w:rsid w:val="621F0147"/>
    <w:rsid w:val="62781D33"/>
    <w:rsid w:val="628F5A13"/>
    <w:rsid w:val="62BD60DC"/>
    <w:rsid w:val="62F2297A"/>
    <w:rsid w:val="63BA6313"/>
    <w:rsid w:val="63F7561D"/>
    <w:rsid w:val="64005C1C"/>
    <w:rsid w:val="641C17B8"/>
    <w:rsid w:val="64410D82"/>
    <w:rsid w:val="646D3F51"/>
    <w:rsid w:val="65206C7A"/>
    <w:rsid w:val="6524398D"/>
    <w:rsid w:val="65257736"/>
    <w:rsid w:val="657B694A"/>
    <w:rsid w:val="65823821"/>
    <w:rsid w:val="65823E90"/>
    <w:rsid w:val="65982E30"/>
    <w:rsid w:val="65B45814"/>
    <w:rsid w:val="65C036EF"/>
    <w:rsid w:val="66262828"/>
    <w:rsid w:val="666173E1"/>
    <w:rsid w:val="66756CCD"/>
    <w:rsid w:val="668C05C1"/>
    <w:rsid w:val="6695771E"/>
    <w:rsid w:val="66B6356E"/>
    <w:rsid w:val="67BD6B7E"/>
    <w:rsid w:val="680A0B11"/>
    <w:rsid w:val="684256E1"/>
    <w:rsid w:val="68671F70"/>
    <w:rsid w:val="687C4343"/>
    <w:rsid w:val="68945B31"/>
    <w:rsid w:val="68DF7B10"/>
    <w:rsid w:val="693B3290"/>
    <w:rsid w:val="69794D27"/>
    <w:rsid w:val="697B470A"/>
    <w:rsid w:val="69AB290B"/>
    <w:rsid w:val="6A083B00"/>
    <w:rsid w:val="6A4B66C3"/>
    <w:rsid w:val="6A4D6295"/>
    <w:rsid w:val="6A6E5867"/>
    <w:rsid w:val="6A99358F"/>
    <w:rsid w:val="6A9D6DE7"/>
    <w:rsid w:val="6BB02385"/>
    <w:rsid w:val="6BB87CF8"/>
    <w:rsid w:val="6BCE027E"/>
    <w:rsid w:val="6BD46244"/>
    <w:rsid w:val="6BE346D0"/>
    <w:rsid w:val="6BFB1A23"/>
    <w:rsid w:val="6C3916F8"/>
    <w:rsid w:val="6C7A503E"/>
    <w:rsid w:val="6C9C1458"/>
    <w:rsid w:val="6CDE2206"/>
    <w:rsid w:val="6CE12187"/>
    <w:rsid w:val="6D6E2A94"/>
    <w:rsid w:val="6D853C9A"/>
    <w:rsid w:val="6D8A4697"/>
    <w:rsid w:val="6D984B25"/>
    <w:rsid w:val="6DBF121E"/>
    <w:rsid w:val="6DF363C9"/>
    <w:rsid w:val="6DFD5AA5"/>
    <w:rsid w:val="6DFF7CC6"/>
    <w:rsid w:val="6E0E36E5"/>
    <w:rsid w:val="6E2214E9"/>
    <w:rsid w:val="6E222A0C"/>
    <w:rsid w:val="6E4B00A8"/>
    <w:rsid w:val="6EA73238"/>
    <w:rsid w:val="6EC11DCE"/>
    <w:rsid w:val="6F631DB3"/>
    <w:rsid w:val="6F8D611B"/>
    <w:rsid w:val="6FAB251A"/>
    <w:rsid w:val="6FB639BF"/>
    <w:rsid w:val="6FCB1942"/>
    <w:rsid w:val="6FE11687"/>
    <w:rsid w:val="704A4474"/>
    <w:rsid w:val="70580E05"/>
    <w:rsid w:val="706A31E5"/>
    <w:rsid w:val="709D3902"/>
    <w:rsid w:val="70B03878"/>
    <w:rsid w:val="70BF29DE"/>
    <w:rsid w:val="710B5675"/>
    <w:rsid w:val="71FE729A"/>
    <w:rsid w:val="720650E8"/>
    <w:rsid w:val="726D2218"/>
    <w:rsid w:val="72A93F87"/>
    <w:rsid w:val="72D26C20"/>
    <w:rsid w:val="72D54D7C"/>
    <w:rsid w:val="72DB1B14"/>
    <w:rsid w:val="72F66CB5"/>
    <w:rsid w:val="731D2907"/>
    <w:rsid w:val="733F48EB"/>
    <w:rsid w:val="734F59FE"/>
    <w:rsid w:val="735D0C69"/>
    <w:rsid w:val="73820F2A"/>
    <w:rsid w:val="7390510D"/>
    <w:rsid w:val="73EC0F86"/>
    <w:rsid w:val="740517FB"/>
    <w:rsid w:val="74235610"/>
    <w:rsid w:val="74256D29"/>
    <w:rsid w:val="744B1186"/>
    <w:rsid w:val="744D23D9"/>
    <w:rsid w:val="746E58E9"/>
    <w:rsid w:val="748D6FDC"/>
    <w:rsid w:val="74AF744A"/>
    <w:rsid w:val="750355CB"/>
    <w:rsid w:val="751F72B5"/>
    <w:rsid w:val="75385D85"/>
    <w:rsid w:val="755E05A6"/>
    <w:rsid w:val="76116F18"/>
    <w:rsid w:val="7645046A"/>
    <w:rsid w:val="768C6099"/>
    <w:rsid w:val="768E69A6"/>
    <w:rsid w:val="76AB69C0"/>
    <w:rsid w:val="76B03B1B"/>
    <w:rsid w:val="76D4359C"/>
    <w:rsid w:val="76E20EE2"/>
    <w:rsid w:val="76E831C4"/>
    <w:rsid w:val="77065E4C"/>
    <w:rsid w:val="77101B8D"/>
    <w:rsid w:val="77253DF8"/>
    <w:rsid w:val="77524614"/>
    <w:rsid w:val="77E66E52"/>
    <w:rsid w:val="787E0FC4"/>
    <w:rsid w:val="790D043F"/>
    <w:rsid w:val="79124BFF"/>
    <w:rsid w:val="79983241"/>
    <w:rsid w:val="79D20267"/>
    <w:rsid w:val="79EE3104"/>
    <w:rsid w:val="7A0B19CB"/>
    <w:rsid w:val="7A1563A6"/>
    <w:rsid w:val="7A804167"/>
    <w:rsid w:val="7AE979FC"/>
    <w:rsid w:val="7AEB28C2"/>
    <w:rsid w:val="7B022DCE"/>
    <w:rsid w:val="7B0B4BAA"/>
    <w:rsid w:val="7B0F40C5"/>
    <w:rsid w:val="7B340C23"/>
    <w:rsid w:val="7B647BB9"/>
    <w:rsid w:val="7B9C6D8F"/>
    <w:rsid w:val="7BE20B17"/>
    <w:rsid w:val="7C3156FB"/>
    <w:rsid w:val="7C75312C"/>
    <w:rsid w:val="7C907F65"/>
    <w:rsid w:val="7CB61122"/>
    <w:rsid w:val="7D225061"/>
    <w:rsid w:val="7D77480F"/>
    <w:rsid w:val="7DA9EBBF"/>
    <w:rsid w:val="7DCF0685"/>
    <w:rsid w:val="7DD722F0"/>
    <w:rsid w:val="7DDB16B4"/>
    <w:rsid w:val="7DEE3196"/>
    <w:rsid w:val="7DF20B27"/>
    <w:rsid w:val="7DFB7599"/>
    <w:rsid w:val="7DFF8A03"/>
    <w:rsid w:val="7E431733"/>
    <w:rsid w:val="7E824526"/>
    <w:rsid w:val="7E8811FE"/>
    <w:rsid w:val="7F314363"/>
    <w:rsid w:val="7F783FAF"/>
    <w:rsid w:val="7FC20D7E"/>
    <w:rsid w:val="7FC331EB"/>
    <w:rsid w:val="BBFCC6AD"/>
    <w:rsid w:val="FABF8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120" w:after="120"/>
      <w:jc w:val="center"/>
      <w:outlineLvl w:val="0"/>
    </w:pPr>
    <w:rPr>
      <w:rFonts w:ascii="黑体" w:hAnsi="黑体" w:eastAsia="黑体"/>
      <w:b/>
      <w:bCs/>
      <w:kern w:val="44"/>
      <w:sz w:val="28"/>
      <w:szCs w:val="28"/>
    </w:rPr>
  </w:style>
  <w:style w:type="paragraph" w:styleId="4">
    <w:name w:val="heading 3"/>
    <w:basedOn w:val="1"/>
    <w:next w:val="1"/>
    <w:qFormat/>
    <w:uiPriority w:val="0"/>
    <w:pPr>
      <w:widowControl w:val="0"/>
      <w:spacing w:line="240" w:lineRule="auto"/>
      <w:textAlignment w:val="auto"/>
      <w:outlineLvl w:val="2"/>
    </w:pPr>
    <w:rPr>
      <w:rFonts w:eastAsia="方正楷体简体"/>
      <w:bCs/>
      <w:color w:val="auto"/>
      <w:kern w:val="2"/>
      <w:szCs w:val="32"/>
      <w:u w:val="none" w:color="auto"/>
    </w:rPr>
  </w:style>
  <w:style w:type="character" w:default="1" w:styleId="14">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ind w:left="200" w:leftChars="200" w:hanging="200" w:hangingChars="200"/>
    </w:pPr>
  </w:style>
  <w:style w:type="paragraph" w:styleId="5">
    <w:name w:val="Body Text Indent"/>
    <w:basedOn w:val="1"/>
    <w:qFormat/>
    <w:uiPriority w:val="0"/>
    <w:pPr>
      <w:ind w:firstLine="632" w:firstLineChars="200"/>
    </w:pPr>
    <w:rPr>
      <w:rFonts w:eastAsia="仿宋_GB2312"/>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5"/>
    <w:next w:val="1"/>
    <w:qFormat/>
    <w:uiPriority w:val="0"/>
    <w:pPr>
      <w:ind w:firstLine="42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000FF"/>
      <w:u w:val="single"/>
    </w:rPr>
  </w:style>
  <w:style w:type="character" w:customStyle="1" w:styleId="18">
    <w:name w:val="zw1"/>
    <w:qFormat/>
    <w:uiPriority w:val="0"/>
    <w:rPr>
      <w:rFonts w:hint="eastAsia" w:ascii="宋体" w:hAnsi="宋体" w:eastAsia="宋体"/>
      <w:sz w:val="22"/>
      <w:szCs w:val="22"/>
    </w:rPr>
  </w:style>
  <w:style w:type="paragraph" w:customStyle="1" w:styleId="19">
    <w:name w:val="公文主体"/>
    <w:basedOn w:val="1"/>
    <w:qFormat/>
    <w:uiPriority w:val="0"/>
    <w:pPr>
      <w:spacing w:line="580" w:lineRule="exact"/>
      <w:ind w:firstLine="200" w:firstLineChars="200"/>
    </w:pPr>
    <w:rPr>
      <w:rFonts w:eastAsia="仿宋_GB2312"/>
      <w:sz w:val="32"/>
    </w:rPr>
  </w:style>
  <w:style w:type="paragraph" w:customStyle="1" w:styleId="20">
    <w:name w:val="zw"/>
    <w:basedOn w:val="1"/>
    <w:qFormat/>
    <w:uiPriority w:val="0"/>
    <w:pPr>
      <w:widowControl/>
      <w:spacing w:before="100" w:beforeAutospacing="1" w:after="100" w:afterAutospacing="1" w:line="440" w:lineRule="atLeast"/>
      <w:jc w:val="left"/>
    </w:pPr>
    <w:rPr>
      <w:rFonts w:ascii="宋体" w:hAnsi="宋体" w:eastAsia="宋体" w:cs="宋体"/>
      <w:kern w:val="0"/>
      <w:sz w:val="22"/>
    </w:rPr>
  </w:style>
  <w:style w:type="paragraph" w:customStyle="1" w:styleId="21">
    <w:name w:val="Char"/>
    <w:basedOn w:val="1"/>
    <w:qFormat/>
    <w:uiPriority w:val="0"/>
    <w:pPr>
      <w:spacing w:line="360" w:lineRule="auto"/>
    </w:pPr>
  </w:style>
  <w:style w:type="paragraph" w:customStyle="1" w:styleId="22">
    <w:name w:val=" Char"/>
    <w:basedOn w:val="1"/>
    <w:qFormat/>
    <w:uiPriority w:val="0"/>
  </w:style>
  <w:style w:type="paragraph" w:customStyle="1" w:styleId="23">
    <w:name w:val="p0"/>
    <w:basedOn w:val="1"/>
    <w:qFormat/>
    <w:uiPriority w:val="0"/>
    <w:pPr>
      <w:widowControl/>
    </w:pPr>
    <w:rPr>
      <w:kern w:val="0"/>
      <w:szCs w:val="21"/>
    </w:rPr>
  </w:style>
  <w:style w:type="paragraph" w:customStyle="1" w:styleId="24">
    <w:name w:val="Char Char Char Char"/>
    <w:basedOn w:val="1"/>
    <w:qFormat/>
    <w:uiPriority w:val="0"/>
  </w:style>
  <w:style w:type="paragraph" w:customStyle="1" w:styleId="25">
    <w:name w:val="主送单位"/>
    <w:basedOn w:val="19"/>
    <w:next w:val="19"/>
    <w:qFormat/>
    <w:uiPriority w:val="0"/>
    <w:pPr>
      <w:ind w:firstLine="0" w:firstLineChars="0"/>
      <w:outlineLvl w:val="1"/>
    </w:pPr>
  </w:style>
  <w:style w:type="paragraph" w:customStyle="1" w:styleId="26">
    <w:name w:val="标题注释"/>
    <w:basedOn w:val="19"/>
    <w:next w:val="25"/>
    <w:qFormat/>
    <w:uiPriority w:val="0"/>
    <w:pPr>
      <w:ind w:firstLine="0" w:firstLineChars="0"/>
      <w:jc w:val="center"/>
      <w:outlineLvl w:val="1"/>
    </w:pPr>
    <w:rPr>
      <w:rFonts w:eastAsia="楷体_GB2312"/>
    </w:rPr>
  </w:style>
  <w:style w:type="paragraph" w:customStyle="1" w:styleId="27">
    <w:name w:val="大标题"/>
    <w:basedOn w:val="19"/>
    <w:next w:val="26"/>
    <w:qFormat/>
    <w:uiPriority w:val="0"/>
    <w:pPr>
      <w:ind w:firstLine="0" w:firstLineChars="0"/>
      <w:jc w:val="center"/>
      <w:outlineLvl w:val="0"/>
    </w:pPr>
    <w:rPr>
      <w:rFonts w:eastAsia="方正小标宋简体"/>
      <w:sz w:val="44"/>
    </w:rPr>
  </w:style>
  <w:style w:type="paragraph" w:customStyle="1" w:styleId="28">
    <w:name w:val="List Paragraph"/>
    <w:basedOn w:val="1"/>
    <w:qFormat/>
    <w:uiPriority w:val="0"/>
    <w:pPr>
      <w:ind w:firstLine="420" w:firstLineChars="200"/>
    </w:pPr>
  </w:style>
  <w:style w:type="paragraph" w:customStyle="1" w:styleId="29">
    <w:name w:val="正文2"/>
    <w:basedOn w:val="1"/>
    <w:next w:val="1"/>
    <w:qFormat/>
    <w:uiPriority w:val="99"/>
  </w:style>
  <w:style w:type="paragraph" w:customStyle="1" w:styleId="30">
    <w:name w:val="正文 New New New New New New New New New New New New New New New New New New New New New New New New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7715</Words>
  <Characters>7863</Characters>
  <Lines>5</Lines>
  <Paragraphs>1</Paragraphs>
  <TotalTime>41</TotalTime>
  <ScaleCrop>false</ScaleCrop>
  <LinksUpToDate>false</LinksUpToDate>
  <CharactersWithSpaces>7876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2013-12-12T22:46:00Z</dcterms:created>
  <dc:creator>USER</dc:creator>
  <cp:lastModifiedBy>*go~on*</cp:lastModifiedBy>
  <cp:lastPrinted>2022-02-26T04:03:00Z</cp:lastPrinted>
  <dcterms:modified xsi:type="dcterms:W3CDTF">2023-07-31T03:24:23Z</dcterms:modified>
  <dc:title>                       达经开区函〔2012〕25号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5803F93AA31D4F3E8F8E1BDD0EEA1CBE_13</vt:lpwstr>
  </property>
</Properties>
</file>