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6764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达州市生态环境局</w:t>
      </w:r>
    </w:p>
    <w:p w14:paraId="4565A97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关于沥青混凝土生产线改建项目环境影响报告表的批复</w:t>
      </w:r>
    </w:p>
    <w:p w14:paraId="68242D59">
      <w:pPr>
        <w:spacing w:line="578" w:lineRule="exact"/>
        <w:jc w:val="center"/>
        <w:rPr>
          <w:rFonts w:eastAsia="仿宋_GB2312"/>
          <w:b/>
          <w:color w:val="FF0000"/>
          <w:kern w:val="44"/>
          <w:sz w:val="32"/>
          <w:szCs w:val="32"/>
        </w:rPr>
      </w:pPr>
    </w:p>
    <w:p w14:paraId="4EECA2B9">
      <w:pPr>
        <w:autoSpaceDE w:val="0"/>
        <w:autoSpaceDN w:val="0"/>
        <w:adjustRightInd w:val="0"/>
        <w:spacing w:line="578" w:lineRule="exact"/>
        <w:rPr>
          <w:rFonts w:eastAsia="仿宋"/>
          <w:sz w:val="32"/>
          <w:szCs w:val="32"/>
        </w:rPr>
      </w:pPr>
      <w:r>
        <w:rPr>
          <w:rFonts w:eastAsia="仿宋"/>
          <w:sz w:val="32"/>
          <w:szCs w:val="32"/>
        </w:rPr>
        <w:t>达州市洪达实业有限公司：</w:t>
      </w:r>
    </w:p>
    <w:p w14:paraId="672B628E">
      <w:pPr>
        <w:autoSpaceDE w:val="0"/>
        <w:autoSpaceDN w:val="0"/>
        <w:adjustRightInd w:val="0"/>
        <w:spacing w:line="578" w:lineRule="exact"/>
        <w:ind w:firstLine="640" w:firstLineChars="200"/>
        <w:rPr>
          <w:rFonts w:eastAsia="仿宋"/>
          <w:sz w:val="32"/>
          <w:szCs w:val="32"/>
        </w:rPr>
      </w:pPr>
      <w:r>
        <w:rPr>
          <w:rFonts w:eastAsia="仿宋"/>
          <w:sz w:val="32"/>
          <w:szCs w:val="32"/>
        </w:rPr>
        <w:t>你公司《沥青混凝土生产线改建项目环境影响报告表》（以下简称</w:t>
      </w:r>
      <w:r>
        <w:rPr>
          <w:rFonts w:ascii="仿宋" w:hAnsi="仿宋" w:eastAsia="仿宋"/>
          <w:sz w:val="32"/>
          <w:szCs w:val="32"/>
        </w:rPr>
        <w:t>“</w:t>
      </w:r>
      <w:r>
        <w:rPr>
          <w:rFonts w:eastAsia="仿宋"/>
          <w:sz w:val="32"/>
          <w:szCs w:val="32"/>
        </w:rPr>
        <w:t>报告表</w:t>
      </w:r>
      <w:r>
        <w:rPr>
          <w:rFonts w:ascii="仿宋" w:hAnsi="仿宋" w:eastAsia="仿宋"/>
          <w:sz w:val="32"/>
          <w:szCs w:val="32"/>
        </w:rPr>
        <w:t>”</w:t>
      </w:r>
      <w:r>
        <w:rPr>
          <w:rFonts w:eastAsia="仿宋"/>
          <w:sz w:val="32"/>
          <w:szCs w:val="32"/>
        </w:rPr>
        <w:t>）及《沥青混凝土生产线改建项目环境影响报告表技术审查会专家组审查意见》（下称</w:t>
      </w:r>
      <w:r>
        <w:rPr>
          <w:rFonts w:ascii="仿宋" w:hAnsi="仿宋" w:eastAsia="仿宋"/>
          <w:sz w:val="32"/>
          <w:szCs w:val="32"/>
        </w:rPr>
        <w:t>“评审意见”</w:t>
      </w:r>
      <w:r>
        <w:rPr>
          <w:rFonts w:eastAsia="仿宋"/>
          <w:sz w:val="32"/>
          <w:szCs w:val="32"/>
        </w:rPr>
        <w:t>）已收悉。经审查，现批复如下：</w:t>
      </w:r>
    </w:p>
    <w:p w14:paraId="0670C924">
      <w:pPr>
        <w:autoSpaceDE w:val="0"/>
        <w:autoSpaceDN w:val="0"/>
        <w:adjustRightInd w:val="0"/>
        <w:spacing w:line="578" w:lineRule="exact"/>
        <w:ind w:firstLine="643" w:firstLineChars="200"/>
        <w:rPr>
          <w:rFonts w:eastAsia="仿宋"/>
          <w:bCs/>
          <w:color w:val="FF0000"/>
          <w:sz w:val="32"/>
          <w:szCs w:val="32"/>
        </w:rPr>
      </w:pPr>
      <w:r>
        <w:rPr>
          <w:rFonts w:eastAsia="仿宋"/>
          <w:b/>
          <w:bCs/>
          <w:sz w:val="32"/>
          <w:szCs w:val="32"/>
        </w:rPr>
        <w:t>一、</w:t>
      </w:r>
      <w:r>
        <w:rPr>
          <w:rFonts w:eastAsia="仿宋"/>
          <w:bCs/>
          <w:sz w:val="32"/>
          <w:szCs w:val="32"/>
        </w:rPr>
        <w:t>项目位于</w:t>
      </w:r>
      <w:r>
        <w:rPr>
          <w:rFonts w:hint="eastAsia" w:eastAsia="仿宋"/>
          <w:bCs/>
          <w:sz w:val="32"/>
          <w:szCs w:val="32"/>
        </w:rPr>
        <w:t>达州高新区斌郎乡百花村四组</w:t>
      </w:r>
      <w:r>
        <w:rPr>
          <w:rFonts w:eastAsia="仿宋"/>
          <w:bCs/>
          <w:sz w:val="32"/>
          <w:szCs w:val="32"/>
        </w:rPr>
        <w:t>，在现有</w:t>
      </w:r>
      <w:r>
        <w:rPr>
          <w:rFonts w:hint="eastAsia" w:eastAsia="仿宋"/>
          <w:bCs/>
          <w:sz w:val="32"/>
          <w:szCs w:val="32"/>
        </w:rPr>
        <w:t>厂区范围</w:t>
      </w:r>
      <w:r>
        <w:rPr>
          <w:rFonts w:eastAsia="仿宋"/>
          <w:bCs/>
          <w:sz w:val="32"/>
          <w:szCs w:val="32"/>
        </w:rPr>
        <w:t>内实施，</w:t>
      </w:r>
      <w:r>
        <w:rPr>
          <w:rFonts w:hint="eastAsia" w:eastAsia="仿宋"/>
          <w:bCs/>
          <w:sz w:val="32"/>
          <w:szCs w:val="32"/>
        </w:rPr>
        <w:t>不新增沥青混凝土产能，主要建设内容为：启用公司原有1#生产线，增加再生设备，燃油锅炉及烘干筒改为燃用天然气；现有2#生产线增加再生设备</w:t>
      </w:r>
      <w:r>
        <w:rPr>
          <w:rFonts w:hint="eastAsia" w:eastAsia="仿宋"/>
          <w:bCs/>
          <w:sz w:val="32"/>
          <w:szCs w:val="32"/>
          <w:lang w:val="en-US" w:eastAsia="zh-CN"/>
        </w:rPr>
        <w:t>和</w:t>
      </w:r>
      <w:r>
        <w:rPr>
          <w:rFonts w:hint="eastAsia" w:eastAsia="仿宋"/>
          <w:bCs/>
          <w:sz w:val="32"/>
          <w:szCs w:val="32"/>
        </w:rPr>
        <w:t>乳化沥青生产设备。项目</w:t>
      </w:r>
      <w:r>
        <w:rPr>
          <w:rFonts w:hint="eastAsia" w:eastAsia="仿宋"/>
          <w:bCs/>
          <w:sz w:val="32"/>
          <w:szCs w:val="32"/>
          <w:lang w:val="en-US" w:eastAsia="zh-CN"/>
        </w:rPr>
        <w:t>建成</w:t>
      </w:r>
      <w:r>
        <w:rPr>
          <w:rFonts w:hint="eastAsia" w:eastAsia="仿宋"/>
          <w:bCs/>
          <w:sz w:val="32"/>
          <w:szCs w:val="32"/>
        </w:rPr>
        <w:t>后，全厂沥青混凝土年产量为20万t（其中原沥青混凝土约12万t、</w:t>
      </w:r>
      <w:r>
        <w:rPr>
          <w:rFonts w:hint="eastAsia" w:eastAsia="仿宋"/>
          <w:bCs/>
          <w:sz w:val="32"/>
          <w:szCs w:val="32"/>
          <w:lang w:val="en-US" w:eastAsia="zh-CN"/>
        </w:rPr>
        <w:t>新增</w:t>
      </w:r>
      <w:r>
        <w:rPr>
          <w:rFonts w:hint="eastAsia" w:eastAsia="仿宋"/>
          <w:bCs/>
          <w:sz w:val="32"/>
          <w:szCs w:val="32"/>
        </w:rPr>
        <w:t>再生沥青混凝土约8万t）、乳化沥青20t。</w:t>
      </w:r>
      <w:r>
        <w:rPr>
          <w:rFonts w:eastAsia="仿宋"/>
          <w:bCs/>
          <w:sz w:val="32"/>
          <w:szCs w:val="32"/>
        </w:rPr>
        <w:t>项目总投资</w:t>
      </w:r>
      <w:r>
        <w:rPr>
          <w:rFonts w:hint="eastAsia" w:eastAsia="仿宋"/>
          <w:bCs/>
          <w:sz w:val="32"/>
          <w:szCs w:val="32"/>
        </w:rPr>
        <w:t>200</w:t>
      </w:r>
      <w:r>
        <w:rPr>
          <w:rFonts w:eastAsia="仿宋"/>
          <w:bCs/>
          <w:sz w:val="32"/>
          <w:szCs w:val="32"/>
        </w:rPr>
        <w:t>万元，环保投资</w:t>
      </w:r>
      <w:r>
        <w:rPr>
          <w:rFonts w:hint="eastAsia" w:eastAsia="仿宋"/>
          <w:bCs/>
          <w:sz w:val="32"/>
          <w:szCs w:val="32"/>
        </w:rPr>
        <w:t>30</w:t>
      </w:r>
      <w:r>
        <w:rPr>
          <w:rFonts w:eastAsia="仿宋"/>
          <w:bCs/>
          <w:sz w:val="32"/>
          <w:szCs w:val="32"/>
        </w:rPr>
        <w:t>万元。</w:t>
      </w:r>
    </w:p>
    <w:p w14:paraId="2FE11E9B">
      <w:pPr>
        <w:autoSpaceDE w:val="0"/>
        <w:autoSpaceDN w:val="0"/>
        <w:adjustRightInd w:val="0"/>
        <w:spacing w:line="578" w:lineRule="exact"/>
        <w:ind w:firstLine="640" w:firstLineChars="200"/>
        <w:rPr>
          <w:rFonts w:eastAsia="仿宋"/>
          <w:bCs/>
          <w:sz w:val="32"/>
          <w:szCs w:val="32"/>
        </w:rPr>
      </w:pPr>
      <w:r>
        <w:rPr>
          <w:rFonts w:eastAsia="仿宋"/>
          <w:bCs/>
          <w:sz w:val="32"/>
          <w:szCs w:val="32"/>
        </w:rPr>
        <w:t>项目建设总体符合国家产业政策、生态环境分区管控等相关要求。在全面落实报告表提出的各项生态环境保护措施的前提下，项目建设的不利生态环境影响可得到减缓和控制。你公司须全面落实报告表提出的各项生态环境保护对策措施和本批复要求。</w:t>
      </w:r>
    </w:p>
    <w:p w14:paraId="6A5FE072">
      <w:pPr>
        <w:autoSpaceDE w:val="0"/>
        <w:autoSpaceDN w:val="0"/>
        <w:adjustRightInd w:val="0"/>
        <w:spacing w:line="578" w:lineRule="exact"/>
        <w:ind w:firstLine="640" w:firstLineChars="200"/>
        <w:rPr>
          <w:rFonts w:eastAsia="仿宋"/>
          <w:bCs/>
          <w:sz w:val="32"/>
          <w:szCs w:val="32"/>
        </w:rPr>
      </w:pPr>
      <w:r>
        <w:rPr>
          <w:rFonts w:eastAsia="仿宋"/>
          <w:bCs/>
          <w:sz w:val="32"/>
          <w:szCs w:val="32"/>
        </w:rPr>
        <w:t>二、</w:t>
      </w:r>
      <w:r>
        <w:rPr>
          <w:rFonts w:hint="eastAsia" w:eastAsia="仿宋"/>
          <w:bCs/>
          <w:sz w:val="32"/>
          <w:szCs w:val="32"/>
        </w:rPr>
        <w:t>项目建设与运行中应重点做好以下工作</w:t>
      </w:r>
      <w:r>
        <w:rPr>
          <w:rFonts w:eastAsia="仿宋"/>
          <w:bCs/>
          <w:sz w:val="32"/>
          <w:szCs w:val="32"/>
        </w:rPr>
        <w:t>：</w:t>
      </w:r>
    </w:p>
    <w:p w14:paraId="08A929BD">
      <w:pPr>
        <w:spacing w:line="578" w:lineRule="exact"/>
        <w:ind w:firstLine="640" w:firstLineChars="200"/>
        <w:rPr>
          <w:rFonts w:eastAsia="仿宋"/>
          <w:bCs/>
          <w:sz w:val="32"/>
          <w:szCs w:val="32"/>
        </w:rPr>
      </w:pPr>
      <w:r>
        <w:rPr>
          <w:rFonts w:hint="eastAsia" w:eastAsia="仿宋"/>
          <w:bCs/>
          <w:sz w:val="32"/>
          <w:szCs w:val="32"/>
        </w:rPr>
        <w:t>（一）全过程贯彻清洁生产原则和循环经济理念，采用先进工艺和设备，加强生产环境管理，降低单位产品物耗、能耗和水耗，落实各项环境保护措施，减少污染物产生和排放量。</w:t>
      </w:r>
    </w:p>
    <w:p w14:paraId="1B014AAB">
      <w:pPr>
        <w:spacing w:line="578" w:lineRule="exact"/>
        <w:ind w:firstLine="640" w:firstLineChars="200"/>
        <w:rPr>
          <w:rFonts w:eastAsia="仿宋"/>
          <w:bCs/>
          <w:sz w:val="32"/>
          <w:szCs w:val="32"/>
        </w:rPr>
      </w:pPr>
      <w:r>
        <w:rPr>
          <w:rFonts w:eastAsia="仿宋"/>
          <w:bCs/>
          <w:sz w:val="32"/>
          <w:szCs w:val="32"/>
        </w:rPr>
        <w:t>（二）</w:t>
      </w:r>
      <w:r>
        <w:rPr>
          <w:rFonts w:hint="default" w:eastAsia="仿宋"/>
          <w:bCs/>
          <w:sz w:val="32"/>
          <w:szCs w:val="32"/>
          <w:lang w:val="en-US" w:eastAsia="zh-CN"/>
        </w:rPr>
        <w:t>强化环境管理，严格落实各项环保措施，优化施工方案，合理安排施工时间，尽可能减缓对周围环境的影响，以及项目废水、噪声、固废、扬尘等对周边的影响。</w:t>
      </w:r>
      <w:r>
        <w:rPr>
          <w:rFonts w:eastAsia="仿宋"/>
          <w:bCs/>
          <w:sz w:val="32"/>
          <w:szCs w:val="32"/>
        </w:rPr>
        <w:t xml:space="preserve"> </w:t>
      </w:r>
    </w:p>
    <w:p w14:paraId="0F405435">
      <w:pPr>
        <w:spacing w:line="578" w:lineRule="exact"/>
        <w:ind w:firstLine="640" w:firstLineChars="200"/>
        <w:rPr>
          <w:rFonts w:hint="eastAsia" w:eastAsia="仿宋"/>
          <w:bCs/>
          <w:sz w:val="32"/>
          <w:szCs w:val="32"/>
        </w:rPr>
      </w:pPr>
      <w:r>
        <w:rPr>
          <w:rFonts w:eastAsia="仿宋"/>
          <w:bCs/>
          <w:sz w:val="32"/>
          <w:szCs w:val="32"/>
        </w:rPr>
        <w:t>（三）严格落实并优化大气污染防治措施。</w:t>
      </w:r>
      <w:r>
        <w:rPr>
          <w:rFonts w:hint="eastAsia" w:eastAsia="仿宋"/>
          <w:bCs/>
          <w:sz w:val="32"/>
          <w:szCs w:val="32"/>
        </w:rPr>
        <w:t>骨料/再生料在卸料、堆存、上料、皮带输送及提升过程中产生的粉尘，应采取设置封闭式堆场的措施进行控制，其中再生料堆场应增设顶棚，卸料、堆存及上料工段辅以移动式雾炮机喷雾抑尘；上料区实行半封闭化并在顶部设置雾化喷头；物料输送全程采用密闭廊道。矿粉筒仓粉尘经仓顶袋式除尘器净化处理。锅炉采用天然气清洁燃料并配备低氮燃烧器，燃烧废气通过8米高排气筒达标排放。原生骨料烘干及筛分系统以天然气为能源，采用低氮燃烧技术，工艺废气经密闭收集后，通过“重力沉降+布袋除尘”二级处理，最终由15米高排气筒排放。沥青烟气（来源于储罐呼吸口、搅拌机、出料口</w:t>
      </w:r>
      <w:r>
        <w:rPr>
          <w:rFonts w:hint="eastAsia" w:eastAsia="仿宋"/>
          <w:bCs/>
          <w:sz w:val="32"/>
          <w:szCs w:val="32"/>
          <w:lang w:eastAsia="zh-CN"/>
        </w:rPr>
        <w:t>、</w:t>
      </w:r>
      <w:r>
        <w:rPr>
          <w:rFonts w:hint="eastAsia" w:eastAsia="仿宋"/>
          <w:bCs/>
          <w:sz w:val="32"/>
          <w:szCs w:val="32"/>
        </w:rPr>
        <w:t>再生骨料烘干桶）经负压集气系统捕集后，引入烘干筒进行高温氧化分解，随后并入烘干废气治理系统协同处理。再生骨料破碎筛分工序实施设备密闭，并在进出口增设雾化抑尘装置。厂区道路通过硬化、洒水保洁及车辆冲洗等方式控制扬尘。食堂油烟经高效净化装置处理后排放。</w:t>
      </w:r>
    </w:p>
    <w:p w14:paraId="2BC45F37">
      <w:pPr>
        <w:spacing w:line="578" w:lineRule="exact"/>
        <w:ind w:firstLine="640" w:firstLineChars="200"/>
        <w:rPr>
          <w:rFonts w:hint="eastAsia" w:ascii="仿宋" w:hAnsi="仿宋" w:eastAsia="仿宋" w:cs="___WRD_EMBED_SUB_44"/>
          <w:sz w:val="32"/>
          <w:szCs w:val="32"/>
        </w:rPr>
      </w:pPr>
      <w:r>
        <w:rPr>
          <w:rFonts w:eastAsia="仿宋"/>
          <w:bCs/>
          <w:sz w:val="32"/>
          <w:szCs w:val="32"/>
        </w:rPr>
        <w:t>（</w:t>
      </w:r>
      <w:r>
        <w:rPr>
          <w:rFonts w:hint="eastAsia" w:eastAsia="仿宋"/>
          <w:bCs/>
          <w:sz w:val="32"/>
          <w:szCs w:val="32"/>
          <w:lang w:val="en-US" w:eastAsia="zh-CN"/>
        </w:rPr>
        <w:t>四</w:t>
      </w:r>
      <w:r>
        <w:rPr>
          <w:rFonts w:eastAsia="仿宋"/>
          <w:bCs/>
          <w:sz w:val="32"/>
          <w:szCs w:val="32"/>
        </w:rPr>
        <w:t>）严格落实并优化水污染防治措施。项目营运期间，产生的</w:t>
      </w:r>
      <w:r>
        <w:rPr>
          <w:rFonts w:hint="eastAsia" w:eastAsia="仿宋"/>
          <w:bCs/>
          <w:sz w:val="32"/>
          <w:szCs w:val="32"/>
        </w:rPr>
        <w:t>搅拌区地面冲洗废水、车辆冲洗废水经隔油沉淀池处理后回用，不外排；生活污水经厂区已有化粪池处理后排入园区污水处理厂处理；初期雨水经厂区雨水管网，汇入雨水沉淀池处理后排</w:t>
      </w:r>
      <w:r>
        <w:rPr>
          <w:rFonts w:hint="eastAsia" w:ascii="仿宋" w:hAnsi="仿宋" w:eastAsia="仿宋" w:cs="微软雅黑"/>
          <w:sz w:val="32"/>
          <w:szCs w:val="32"/>
        </w:rPr>
        <w:t>入市政雨水管网</w:t>
      </w:r>
      <w:r>
        <w:rPr>
          <w:rFonts w:hint="eastAsia" w:ascii="仿宋" w:hAnsi="仿宋" w:eastAsia="仿宋" w:cs="___WRD_EMBED_SUB_44"/>
          <w:sz w:val="32"/>
          <w:szCs w:val="32"/>
        </w:rPr>
        <w:t>。</w:t>
      </w:r>
    </w:p>
    <w:p w14:paraId="6F8D58F1">
      <w:pPr>
        <w:spacing w:line="578" w:lineRule="exact"/>
        <w:ind w:firstLine="640" w:firstLineChars="200"/>
        <w:rPr>
          <w:rFonts w:eastAsia="仿宋"/>
          <w:bCs/>
          <w:sz w:val="32"/>
          <w:szCs w:val="32"/>
        </w:rPr>
      </w:pPr>
      <w:r>
        <w:rPr>
          <w:rFonts w:eastAsia="仿宋"/>
          <w:bCs/>
          <w:sz w:val="32"/>
          <w:szCs w:val="32"/>
        </w:rPr>
        <w:t>（</w:t>
      </w:r>
      <w:r>
        <w:rPr>
          <w:rFonts w:hint="eastAsia" w:eastAsia="仿宋"/>
          <w:bCs/>
          <w:sz w:val="32"/>
          <w:szCs w:val="32"/>
          <w:lang w:val="en-US" w:eastAsia="zh-CN"/>
        </w:rPr>
        <w:t>五</w:t>
      </w:r>
      <w:r>
        <w:rPr>
          <w:rFonts w:eastAsia="仿宋"/>
          <w:bCs/>
          <w:sz w:val="32"/>
          <w:szCs w:val="32"/>
        </w:rPr>
        <w:t>）严格落实并优化振动及噪声污染防治措施。运营期产生的噪声主要源自机械设备</w:t>
      </w:r>
      <w:r>
        <w:rPr>
          <w:rFonts w:hint="eastAsia" w:eastAsia="仿宋"/>
          <w:bCs/>
          <w:sz w:val="32"/>
          <w:szCs w:val="32"/>
          <w:lang w:eastAsia="zh-CN"/>
        </w:rPr>
        <w:t>，</w:t>
      </w:r>
      <w:r>
        <w:rPr>
          <w:rFonts w:eastAsia="仿宋"/>
          <w:bCs/>
          <w:sz w:val="32"/>
          <w:szCs w:val="32"/>
        </w:rPr>
        <w:t>为有效控制噪声污染，项目须采取多项针对性措施：一是优先选用环保型低噪声设备，从声源处降低噪声产生；二是加强设备的日常维护保养，确保设备稳定运行，避免因设备故障产生额外噪声；三是优化设备布局，尽量将高噪声设备远离项目边界，以此减少噪声对周边环境的影响。</w:t>
      </w:r>
    </w:p>
    <w:p w14:paraId="1C9A01E6">
      <w:pPr>
        <w:spacing w:line="578" w:lineRule="exact"/>
        <w:ind w:firstLine="640" w:firstLineChars="200"/>
        <w:rPr>
          <w:rFonts w:eastAsia="仿宋"/>
          <w:bCs/>
          <w:sz w:val="32"/>
          <w:szCs w:val="32"/>
        </w:rPr>
      </w:pPr>
      <w:r>
        <w:rPr>
          <w:rFonts w:eastAsia="仿宋"/>
          <w:bCs/>
          <w:sz w:val="32"/>
          <w:szCs w:val="32"/>
        </w:rPr>
        <w:t>（</w:t>
      </w:r>
      <w:r>
        <w:rPr>
          <w:rFonts w:hint="eastAsia" w:eastAsia="仿宋"/>
          <w:bCs/>
          <w:sz w:val="32"/>
          <w:szCs w:val="32"/>
          <w:lang w:val="en-US" w:eastAsia="zh-CN"/>
        </w:rPr>
        <w:t>六</w:t>
      </w:r>
      <w:r>
        <w:rPr>
          <w:rFonts w:eastAsia="仿宋"/>
          <w:bCs/>
          <w:sz w:val="32"/>
          <w:szCs w:val="32"/>
        </w:rPr>
        <w:t>）严格落实并优化固体废物污染防治措施。</w:t>
      </w:r>
      <w:r>
        <w:rPr>
          <w:rFonts w:hint="eastAsia" w:eastAsia="仿宋"/>
          <w:bCs/>
          <w:sz w:val="32"/>
          <w:szCs w:val="32"/>
        </w:rPr>
        <w:t>滴漏沥青、拌和残渣及布袋除尘器收集的粉尘均作为生产原料回用于</w:t>
      </w:r>
      <w:r>
        <w:rPr>
          <w:rFonts w:hint="eastAsia" w:eastAsia="仿宋"/>
          <w:bCs/>
          <w:sz w:val="32"/>
          <w:szCs w:val="32"/>
          <w:lang w:val="en-US" w:eastAsia="zh-CN"/>
        </w:rPr>
        <w:t>生产</w:t>
      </w:r>
      <w:r>
        <w:rPr>
          <w:rFonts w:hint="eastAsia" w:eastAsia="仿宋"/>
          <w:bCs/>
          <w:sz w:val="32"/>
          <w:szCs w:val="32"/>
        </w:rPr>
        <w:t>。热骨料筛分产生的不合格大粒径碎石，经袋装后暂存于一般固废间，由砂石骨料厂家回收。隔油沉淀池与初期雨水沉淀池沉渣，定期清掏后运至指定弃渣场填埋。厂区生活垃圾由环卫部门统一清运。废布袋、废润滑油桶等一般工业包装物亦暂存后交由厂家回收。各类危险废物，包括废油、废导热油、含油抹布手套等，均于危废暂存间规范暂存，并定期委托有资质单位进行无害化处置。</w:t>
      </w:r>
    </w:p>
    <w:p w14:paraId="5B47A134">
      <w:pPr>
        <w:spacing w:line="578" w:lineRule="exact"/>
        <w:ind w:firstLine="640" w:firstLineChars="200"/>
        <w:rPr>
          <w:rFonts w:eastAsia="仿宋"/>
          <w:bCs/>
          <w:sz w:val="32"/>
          <w:szCs w:val="32"/>
        </w:rPr>
      </w:pPr>
      <w:r>
        <w:rPr>
          <w:rFonts w:eastAsia="仿宋"/>
          <w:bCs/>
          <w:sz w:val="32"/>
          <w:szCs w:val="32"/>
        </w:rPr>
        <w:t>（</w:t>
      </w:r>
      <w:r>
        <w:rPr>
          <w:rFonts w:hint="eastAsia" w:eastAsia="仿宋"/>
          <w:bCs/>
          <w:sz w:val="32"/>
          <w:szCs w:val="32"/>
          <w:lang w:val="en-US" w:eastAsia="zh-CN"/>
        </w:rPr>
        <w:t>七</w:t>
      </w:r>
      <w:r>
        <w:rPr>
          <w:rFonts w:eastAsia="仿宋"/>
          <w:bCs/>
          <w:sz w:val="32"/>
          <w:szCs w:val="32"/>
        </w:rPr>
        <w:t>）严格落实报告表中提出的环境风险防范措施，针对环境风险产生环节，完善项目环境风险防范减缓措施和事故应急预案，避免发生环境污染事故。一旦发生环境风险事故，立即向当地生态环境部门报告，并采取风险防范处置措施，严防环境污染。</w:t>
      </w:r>
    </w:p>
    <w:p w14:paraId="6600411F">
      <w:pPr>
        <w:spacing w:line="578" w:lineRule="exact"/>
        <w:ind w:firstLine="640" w:firstLineChars="200"/>
        <w:rPr>
          <w:rFonts w:eastAsia="仿宋"/>
          <w:bCs/>
          <w:sz w:val="32"/>
          <w:szCs w:val="32"/>
        </w:rPr>
      </w:pPr>
      <w:r>
        <w:rPr>
          <w:rFonts w:eastAsia="仿宋"/>
          <w:bCs/>
          <w:sz w:val="32"/>
          <w:szCs w:val="32"/>
        </w:rPr>
        <w:t>（</w:t>
      </w:r>
      <w:r>
        <w:rPr>
          <w:rFonts w:hint="eastAsia" w:eastAsia="仿宋"/>
          <w:bCs/>
          <w:sz w:val="32"/>
          <w:szCs w:val="32"/>
          <w:lang w:val="en-US" w:eastAsia="zh-CN"/>
        </w:rPr>
        <w:t>八</w:t>
      </w:r>
      <w:r>
        <w:rPr>
          <w:rFonts w:eastAsia="仿宋"/>
          <w:bCs/>
          <w:sz w:val="32"/>
          <w:szCs w:val="32"/>
        </w:rPr>
        <w:t>）认真落实报告表提出的环境管理和环境监测计划，依法定期向公众发布环境信息，主动接受社会监督，项目实施过程中应建立畅通的公众参与平台，及时解决公众提出的合理环境诉求。</w:t>
      </w:r>
    </w:p>
    <w:p w14:paraId="32CF3E6B">
      <w:pPr>
        <w:spacing w:line="578" w:lineRule="exact"/>
        <w:ind w:firstLine="640" w:firstLineChars="200"/>
        <w:rPr>
          <w:rFonts w:eastAsia="仿宋"/>
          <w:bCs/>
          <w:sz w:val="32"/>
          <w:szCs w:val="32"/>
        </w:rPr>
      </w:pPr>
      <w:r>
        <w:rPr>
          <w:rFonts w:eastAsia="仿宋"/>
          <w:bCs/>
          <w:sz w:val="32"/>
          <w:szCs w:val="32"/>
        </w:rPr>
        <w:t>（</w:t>
      </w:r>
      <w:r>
        <w:rPr>
          <w:rFonts w:hint="eastAsia" w:eastAsia="仿宋"/>
          <w:bCs/>
          <w:sz w:val="32"/>
          <w:szCs w:val="32"/>
          <w:lang w:val="en-US" w:eastAsia="zh-CN"/>
        </w:rPr>
        <w:t>九</w:t>
      </w:r>
      <w:r>
        <w:rPr>
          <w:rFonts w:eastAsia="仿宋"/>
          <w:bCs/>
          <w:sz w:val="32"/>
          <w:szCs w:val="32"/>
        </w:rPr>
        <w:t>）对项目涉及的安全风险事故相关问题和控制措施以安全监管部门的要求为准。项目建设运营应依法办理其他相关行政手续。</w:t>
      </w:r>
    </w:p>
    <w:p w14:paraId="539A67E3">
      <w:pPr>
        <w:spacing w:line="578" w:lineRule="exact"/>
        <w:ind w:firstLine="640" w:firstLineChars="200"/>
        <w:rPr>
          <w:rFonts w:eastAsia="仿宋"/>
          <w:bCs/>
          <w:sz w:val="32"/>
          <w:szCs w:val="32"/>
        </w:rPr>
      </w:pPr>
      <w:r>
        <w:rPr>
          <w:rFonts w:eastAsia="仿宋"/>
          <w:bCs/>
          <w:sz w:val="32"/>
          <w:szCs w:val="32"/>
        </w:rPr>
        <w:t>（</w:t>
      </w:r>
      <w:r>
        <w:rPr>
          <w:rFonts w:hint="eastAsia" w:eastAsia="仿宋"/>
          <w:bCs/>
          <w:sz w:val="32"/>
          <w:szCs w:val="32"/>
          <w:lang w:val="en-US" w:eastAsia="zh-CN"/>
        </w:rPr>
        <w:t>十</w:t>
      </w:r>
      <w:r>
        <w:rPr>
          <w:rFonts w:eastAsia="仿宋"/>
          <w:bCs/>
          <w:sz w:val="32"/>
          <w:szCs w:val="32"/>
        </w:rPr>
        <w:t>）项目建设涉及其它相关生态环境问题必须严格按照报告表的要求和评审意见落实</w:t>
      </w:r>
      <w:r>
        <w:rPr>
          <w:rFonts w:hint="eastAsia" w:eastAsia="仿宋"/>
          <w:bCs/>
          <w:sz w:val="32"/>
          <w:szCs w:val="32"/>
        </w:rPr>
        <w:t>。</w:t>
      </w:r>
    </w:p>
    <w:p w14:paraId="65904136">
      <w:pPr>
        <w:spacing w:line="578" w:lineRule="exact"/>
        <w:ind w:firstLine="640" w:firstLineChars="200"/>
        <w:rPr>
          <w:rFonts w:eastAsia="仿宋"/>
          <w:bCs/>
          <w:sz w:val="32"/>
          <w:szCs w:val="32"/>
        </w:rPr>
      </w:pPr>
      <w:r>
        <w:rPr>
          <w:rFonts w:eastAsia="仿宋"/>
          <w:bCs/>
          <w:sz w:val="32"/>
          <w:szCs w:val="32"/>
        </w:rPr>
        <w:t>三、项目建设必须严格执行配套建设的环境保护设施与主体工程同时设计、同时施工、同时投产使用的环境保护“三同时”制度。你公司是建设项目竣工环境保护验收的责任主体，应当按照规定的程序和标准，组织对配套建设的环境保护设施进行验收，编制验收报告，公开相关信息，接受社会监督。</w:t>
      </w:r>
    </w:p>
    <w:p w14:paraId="6A2294F9">
      <w:pPr>
        <w:spacing w:line="578" w:lineRule="exact"/>
        <w:ind w:firstLine="640" w:firstLineChars="200"/>
        <w:rPr>
          <w:rFonts w:eastAsia="仿宋"/>
          <w:bCs/>
          <w:sz w:val="32"/>
          <w:szCs w:val="32"/>
        </w:rPr>
      </w:pPr>
      <w:r>
        <w:rPr>
          <w:rFonts w:eastAsia="仿宋"/>
          <w:bCs/>
          <w:sz w:val="32"/>
          <w:szCs w:val="32"/>
        </w:rPr>
        <w:t>四、项目环境影响评价文件经批准后，如建设项目的性质、规模、地点、采用的生产工艺或者防治污染、防止生态破坏的措施发生重大变动的，你公司应当重新报批环境影响评价文件。建设项目的环境影响评价文件自批准之日起超过五年，方决定该项目开工建设的，其环境影响评价文件应当报原审批部门重新审核。</w:t>
      </w:r>
    </w:p>
    <w:p w14:paraId="4BBA04ED">
      <w:pPr>
        <w:spacing w:line="578" w:lineRule="exact"/>
        <w:ind w:firstLine="640" w:firstLineChars="200"/>
        <w:rPr>
          <w:rFonts w:eastAsia="仿宋"/>
          <w:bCs/>
          <w:sz w:val="32"/>
          <w:szCs w:val="32"/>
        </w:rPr>
      </w:pPr>
      <w:r>
        <w:rPr>
          <w:rFonts w:eastAsia="仿宋"/>
          <w:bCs/>
          <w:sz w:val="32"/>
          <w:szCs w:val="32"/>
        </w:rPr>
        <w:t>五、有以下情形之一的，一切损失及后果由建设单位自行承担：</w:t>
      </w:r>
    </w:p>
    <w:p w14:paraId="3A5BC43A">
      <w:pPr>
        <w:spacing w:line="578" w:lineRule="exact"/>
        <w:ind w:firstLine="640" w:firstLineChars="200"/>
        <w:rPr>
          <w:rFonts w:eastAsia="仿宋"/>
          <w:bCs/>
          <w:sz w:val="32"/>
          <w:szCs w:val="32"/>
        </w:rPr>
      </w:pPr>
      <w:r>
        <w:rPr>
          <w:rFonts w:eastAsia="仿宋"/>
          <w:bCs/>
          <w:sz w:val="32"/>
          <w:szCs w:val="32"/>
        </w:rPr>
        <w:t>（一）项目建设未严格按照报告表及批复要求落实各项措施，擅自改变工艺、污染防治措施等，造成污染危害、污染事故或污染扰民；</w:t>
      </w:r>
    </w:p>
    <w:p w14:paraId="6D83AD86">
      <w:pPr>
        <w:spacing w:line="578" w:lineRule="exact"/>
        <w:ind w:firstLine="640" w:firstLineChars="200"/>
        <w:rPr>
          <w:rFonts w:eastAsia="仿宋"/>
          <w:bCs/>
          <w:sz w:val="32"/>
          <w:szCs w:val="32"/>
        </w:rPr>
      </w:pPr>
      <w:r>
        <w:rPr>
          <w:rFonts w:eastAsia="仿宋"/>
          <w:bCs/>
          <w:sz w:val="32"/>
          <w:szCs w:val="32"/>
        </w:rPr>
        <w:t>（二）未按照报告表及批复要求，擅自排放其他污染物或其他有毒有害物质；</w:t>
      </w:r>
    </w:p>
    <w:p w14:paraId="6FA4E051">
      <w:pPr>
        <w:spacing w:line="578" w:lineRule="exact"/>
        <w:ind w:firstLine="640" w:firstLineChars="200"/>
        <w:rPr>
          <w:rFonts w:eastAsia="仿宋"/>
          <w:bCs/>
          <w:sz w:val="32"/>
          <w:szCs w:val="32"/>
        </w:rPr>
      </w:pPr>
      <w:r>
        <w:rPr>
          <w:rFonts w:eastAsia="仿宋"/>
          <w:bCs/>
          <w:sz w:val="32"/>
          <w:szCs w:val="32"/>
        </w:rPr>
        <w:t>（三）环境影响报告表或其他相关内容存在弄虚作假情况。</w:t>
      </w:r>
    </w:p>
    <w:p w14:paraId="233E8055">
      <w:pPr>
        <w:spacing w:line="578" w:lineRule="exact"/>
        <w:ind w:firstLine="640" w:firstLineChars="200"/>
        <w:rPr>
          <w:rFonts w:eastAsia="仿宋"/>
          <w:bCs/>
          <w:sz w:val="32"/>
          <w:szCs w:val="32"/>
        </w:rPr>
      </w:pPr>
      <w:r>
        <w:rPr>
          <w:rFonts w:eastAsia="仿宋"/>
          <w:bCs/>
          <w:sz w:val="32"/>
          <w:szCs w:val="32"/>
        </w:rPr>
        <w:t>六、由达州高新区生态环境局负责该项目日常环境保护监督检查工作，履行属地监管职责，按照《关于进一步完善建设项目环境保护</w:t>
      </w:r>
      <w:r>
        <w:rPr>
          <w:rFonts w:ascii="仿宋" w:hAnsi="仿宋" w:eastAsia="仿宋"/>
          <w:sz w:val="32"/>
          <w:szCs w:val="32"/>
        </w:rPr>
        <w:t>“三同时”及</w:t>
      </w:r>
      <w:r>
        <w:rPr>
          <w:rFonts w:eastAsia="仿宋"/>
          <w:bCs/>
          <w:sz w:val="32"/>
          <w:szCs w:val="32"/>
        </w:rPr>
        <w:t>竣工环境保护自主验收监管工作机制的意见》（环执法〔2021〕70号）要求，加强对该项目环境保护“三同时”监督检查和自主验收监管工作。</w:t>
      </w:r>
    </w:p>
    <w:p w14:paraId="2FCE0EED">
      <w:pPr>
        <w:spacing w:line="578" w:lineRule="exact"/>
        <w:ind w:firstLine="640" w:firstLineChars="200"/>
        <w:rPr>
          <w:rFonts w:eastAsia="仿宋"/>
          <w:bCs/>
          <w:sz w:val="32"/>
          <w:szCs w:val="32"/>
        </w:rPr>
      </w:pPr>
      <w:r>
        <w:rPr>
          <w:rFonts w:eastAsia="仿宋"/>
          <w:bCs/>
          <w:sz w:val="32"/>
          <w:szCs w:val="32"/>
        </w:rPr>
        <w:t>七、你公司应按规定接受各级生态环境主管部门的日常监督检查。</w:t>
      </w:r>
    </w:p>
    <w:p w14:paraId="0F1F6FF8">
      <w:pPr>
        <w:spacing w:line="578" w:lineRule="exact"/>
        <w:ind w:firstLine="640" w:firstLineChars="200"/>
        <w:rPr>
          <w:rFonts w:eastAsia="仿宋"/>
          <w:bCs/>
          <w:sz w:val="32"/>
          <w:szCs w:val="32"/>
        </w:rPr>
      </w:pPr>
    </w:p>
    <w:p w14:paraId="441736B7">
      <w:pPr>
        <w:spacing w:line="578" w:lineRule="exact"/>
        <w:ind w:firstLine="640" w:firstLineChars="200"/>
        <w:rPr>
          <w:rFonts w:eastAsia="仿宋"/>
          <w:bCs/>
          <w:sz w:val="32"/>
          <w:szCs w:val="32"/>
        </w:rPr>
      </w:pPr>
      <w:r>
        <w:rPr>
          <w:rFonts w:eastAsia="仿宋"/>
          <w:bCs/>
          <w:sz w:val="32"/>
          <w:szCs w:val="32"/>
        </w:rPr>
        <w:t xml:space="preserve">      </w:t>
      </w:r>
    </w:p>
    <w:p w14:paraId="499AD81B">
      <w:pPr>
        <w:spacing w:line="578" w:lineRule="exact"/>
        <w:ind w:firstLine="640" w:firstLineChars="200"/>
        <w:rPr>
          <w:rFonts w:eastAsia="仿宋"/>
          <w:bCs/>
          <w:sz w:val="32"/>
          <w:szCs w:val="32"/>
        </w:rPr>
      </w:pPr>
      <w:r>
        <w:rPr>
          <w:rFonts w:eastAsia="仿宋"/>
          <w:bCs/>
          <w:sz w:val="32"/>
          <w:szCs w:val="32"/>
        </w:rPr>
        <w:t xml:space="preserve">                          </w:t>
      </w:r>
      <w:r>
        <w:rPr>
          <w:rFonts w:hint="eastAsia" w:eastAsia="仿宋"/>
          <w:bCs/>
          <w:sz w:val="32"/>
          <w:szCs w:val="32"/>
        </w:rPr>
        <w:t xml:space="preserve"> </w:t>
      </w:r>
      <w:r>
        <w:rPr>
          <w:rFonts w:eastAsia="仿宋"/>
          <w:bCs/>
          <w:sz w:val="32"/>
          <w:szCs w:val="32"/>
        </w:rPr>
        <w:t xml:space="preserve">  </w:t>
      </w:r>
      <w:r>
        <w:rPr>
          <w:rFonts w:hint="eastAsia" w:eastAsia="仿宋"/>
          <w:bCs/>
          <w:sz w:val="32"/>
          <w:szCs w:val="32"/>
        </w:rPr>
        <w:t xml:space="preserve">  </w:t>
      </w:r>
      <w:r>
        <w:rPr>
          <w:rFonts w:eastAsia="仿宋"/>
          <w:bCs/>
          <w:sz w:val="32"/>
          <w:szCs w:val="32"/>
        </w:rPr>
        <w:t>达州市生态环境局</w:t>
      </w:r>
    </w:p>
    <w:p w14:paraId="5461648A">
      <w:pPr>
        <w:spacing w:line="578" w:lineRule="exact"/>
        <w:ind w:firstLine="640" w:firstLineChars="200"/>
        <w:rPr>
          <w:rFonts w:eastAsia="仿宋"/>
          <w:bCs/>
          <w:sz w:val="32"/>
          <w:szCs w:val="32"/>
        </w:rPr>
      </w:pPr>
      <w:r>
        <w:rPr>
          <w:rFonts w:eastAsia="仿宋"/>
          <w:bCs/>
          <w:sz w:val="32"/>
          <w:szCs w:val="32"/>
        </w:rPr>
        <w:t xml:space="preserve"> </w:t>
      </w:r>
      <w:r>
        <w:rPr>
          <w:rFonts w:hint="eastAsia" w:eastAsia="仿宋"/>
          <w:bCs/>
          <w:sz w:val="32"/>
          <w:szCs w:val="32"/>
        </w:rPr>
        <w:t xml:space="preserve">                             </w:t>
      </w:r>
      <w:r>
        <w:rPr>
          <w:rFonts w:hint="eastAsia" w:eastAsia="仿宋"/>
          <w:bCs/>
          <w:sz w:val="32"/>
          <w:szCs w:val="32"/>
          <w:lang w:val="en-US" w:eastAsia="zh-CN"/>
        </w:rPr>
        <w:t xml:space="preserve"> </w:t>
      </w:r>
      <w:r>
        <w:rPr>
          <w:rFonts w:eastAsia="仿宋"/>
          <w:bCs/>
          <w:sz w:val="32"/>
          <w:szCs w:val="32"/>
        </w:rPr>
        <w:t>202</w:t>
      </w:r>
      <w:r>
        <w:rPr>
          <w:rFonts w:hint="eastAsia" w:eastAsia="仿宋"/>
          <w:bCs/>
          <w:sz w:val="32"/>
          <w:szCs w:val="32"/>
        </w:rPr>
        <w:t>6</w:t>
      </w:r>
      <w:r>
        <w:rPr>
          <w:rFonts w:eastAsia="仿宋"/>
          <w:bCs/>
          <w:sz w:val="32"/>
          <w:szCs w:val="32"/>
        </w:rPr>
        <w:t>年</w:t>
      </w:r>
      <w:r>
        <w:rPr>
          <w:rFonts w:hint="eastAsia" w:eastAsia="仿宋"/>
          <w:bCs/>
          <w:sz w:val="32"/>
          <w:szCs w:val="32"/>
        </w:rPr>
        <w:t>1</w:t>
      </w:r>
      <w:r>
        <w:rPr>
          <w:rFonts w:eastAsia="仿宋"/>
          <w:bCs/>
          <w:sz w:val="32"/>
          <w:szCs w:val="32"/>
        </w:rPr>
        <w:t>月</w:t>
      </w:r>
      <w:r>
        <w:rPr>
          <w:rFonts w:hint="eastAsia" w:eastAsia="仿宋"/>
          <w:bCs/>
          <w:sz w:val="32"/>
          <w:szCs w:val="32"/>
          <w:lang w:val="en-US" w:eastAsia="zh-CN"/>
        </w:rPr>
        <w:t>12</w:t>
      </w:r>
      <w:r>
        <w:rPr>
          <w:rFonts w:eastAsia="仿宋"/>
          <w:bCs/>
          <w:sz w:val="32"/>
          <w:szCs w:val="32"/>
        </w:rPr>
        <w:t>日</w:t>
      </w:r>
    </w:p>
    <w:p w14:paraId="375AEF14">
      <w:pPr>
        <w:spacing w:line="578" w:lineRule="exact"/>
        <w:ind w:firstLine="4800" w:firstLineChars="1500"/>
        <w:rPr>
          <w:rFonts w:eastAsia="仿宋_GB2312"/>
          <w:color w:val="FF0000"/>
          <w:sz w:val="32"/>
          <w:szCs w:val="32"/>
        </w:rPr>
      </w:pPr>
    </w:p>
    <w:p w14:paraId="3692B027">
      <w:pPr>
        <w:pStyle w:val="36"/>
        <w:spacing w:line="578" w:lineRule="exact"/>
        <w:ind w:firstLine="640"/>
        <w:rPr>
          <w:rFonts w:eastAsia="仿宋_GB2312"/>
          <w:bCs/>
          <w:kern w:val="44"/>
          <w:sz w:val="32"/>
          <w:szCs w:val="32"/>
        </w:rPr>
      </w:pPr>
    </w:p>
    <w:p w14:paraId="347C927F">
      <w:pPr>
        <w:pStyle w:val="36"/>
        <w:spacing w:line="578" w:lineRule="exact"/>
        <w:ind w:firstLine="640"/>
        <w:rPr>
          <w:rFonts w:eastAsia="仿宋_GB2312"/>
          <w:bCs/>
          <w:kern w:val="44"/>
          <w:sz w:val="32"/>
          <w:szCs w:val="32"/>
        </w:rPr>
      </w:pPr>
    </w:p>
    <w:p w14:paraId="2A0CF32C">
      <w:pPr>
        <w:pStyle w:val="36"/>
        <w:spacing w:line="578" w:lineRule="exact"/>
        <w:ind w:firstLine="640"/>
        <w:rPr>
          <w:rFonts w:eastAsia="仿宋_GB2312"/>
          <w:bCs/>
          <w:kern w:val="44"/>
          <w:sz w:val="32"/>
          <w:szCs w:val="32"/>
        </w:rPr>
      </w:pPr>
    </w:p>
    <w:p w14:paraId="46D0A5F9">
      <w:pPr>
        <w:spacing w:line="578" w:lineRule="exact"/>
        <w:rPr>
          <w:rFonts w:hint="eastAsia" w:eastAsia="仿宋"/>
          <w:bCs/>
          <w:sz w:val="32"/>
          <w:szCs w:val="32"/>
        </w:rPr>
      </w:pPr>
      <w:bookmarkStart w:id="0" w:name="_GoBack"/>
      <w:bookmarkEnd w:id="0"/>
    </w:p>
    <w:sectPr>
      <w:footerReference r:id="rId3" w:type="default"/>
      <w:pgSz w:w="11906" w:h="16838"/>
      <w:pgMar w:top="2098" w:right="1474" w:bottom="1984" w:left="1587" w:header="851" w:footer="992" w:gutter="0"/>
      <w:paperSrc w:first="7"/>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__WRD_EMBED_SUB_44">
    <w:altName w:val="宋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E8CF5">
    <w:pPr>
      <w:pStyle w:val="1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0171990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B4DC4D5">
                          <w:pPr>
                            <w:pStyle w:val="1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6pebnPAAAABQEAAA8AAAAAAAAAAQAgAAAAIgAAAGRycy9k&#10;b3ducmV2LnhtbFBLAQIUABQAAAAIAIdO4kCI7VgrCwIAAAwEAAAOAAAAAAAAAAEAIAAAAB4BAABk&#10;cnMvZTJvRG9jLnhtbFBLBQYAAAAABgAGAFkBAACbBQAAAAA=&#10;">
              <v:fill on="f" focussize="0,0"/>
              <v:stroke on="f"/>
              <v:imagedata o:title=""/>
              <o:lock v:ext="edit" aspectratio="f"/>
              <v:textbox inset="0mm,0mm,0mm,0mm" style="mso-fit-shape-to-text:t;">
                <w:txbxContent>
                  <w:p w14:paraId="2B4DC4D5">
                    <w:pPr>
                      <w:pStyle w:val="1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p w14:paraId="25E25D7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C39"/>
    <w:rsid w:val="00034D38"/>
    <w:rsid w:val="00246816"/>
    <w:rsid w:val="002A64A8"/>
    <w:rsid w:val="00305519"/>
    <w:rsid w:val="0053341B"/>
    <w:rsid w:val="00B448F8"/>
    <w:rsid w:val="00F81C39"/>
    <w:rsid w:val="036A2F62"/>
    <w:rsid w:val="0A165F4E"/>
    <w:rsid w:val="10E67AEC"/>
    <w:rsid w:val="1A532530"/>
    <w:rsid w:val="1E727F88"/>
    <w:rsid w:val="296B27E0"/>
    <w:rsid w:val="2B0D5779"/>
    <w:rsid w:val="3AAF547F"/>
    <w:rsid w:val="3BB9195E"/>
    <w:rsid w:val="45BC51F3"/>
    <w:rsid w:val="5C6B0A66"/>
    <w:rsid w:val="6429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7"/>
    <w:semiHidden/>
    <w:unhideWhenUsed/>
    <w:uiPriority w:val="99"/>
    <w:pPr>
      <w:spacing w:after="120"/>
    </w:pPr>
  </w:style>
  <w:style w:type="paragraph" w:styleId="12">
    <w:name w:val="footer"/>
    <w:basedOn w:val="1"/>
    <w:link w:val="35"/>
    <w:qFormat/>
    <w:uiPriority w:val="0"/>
    <w:pPr>
      <w:tabs>
        <w:tab w:val="center" w:pos="4153"/>
        <w:tab w:val="right" w:pos="8306"/>
      </w:tabs>
      <w:snapToGrid w:val="0"/>
      <w:jc w:val="left"/>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脚 字符"/>
    <w:basedOn w:val="16"/>
    <w:link w:val="12"/>
    <w:qFormat/>
    <w:uiPriority w:val="0"/>
    <w:rPr>
      <w:rFonts w:ascii="Times New Roman" w:hAnsi="Times New Roman" w:eastAsia="宋体" w:cs="Times New Roman"/>
      <w:sz w:val="18"/>
      <w:szCs w:val="18"/>
      <w14:ligatures w14:val="none"/>
    </w:rPr>
  </w:style>
  <w:style w:type="paragraph" w:customStyle="1" w:styleId="36">
    <w:name w:val="正文四号"/>
    <w:basedOn w:val="1"/>
    <w:uiPriority w:val="0"/>
    <w:pPr>
      <w:spacing w:line="360" w:lineRule="auto"/>
      <w:ind w:firstLine="200" w:firstLineChars="200"/>
    </w:pPr>
    <w:rPr>
      <w:sz w:val="28"/>
    </w:rPr>
  </w:style>
  <w:style w:type="character" w:customStyle="1" w:styleId="37">
    <w:name w:val="正文文本 字符"/>
    <w:basedOn w:val="16"/>
    <w:link w:val="11"/>
    <w:semiHidden/>
    <w:uiPriority w:val="99"/>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2418</Words>
  <Characters>2436</Characters>
  <Lines>21</Lines>
  <Paragraphs>6</Paragraphs>
  <TotalTime>55</TotalTime>
  <ScaleCrop>false</ScaleCrop>
  <LinksUpToDate>false</LinksUpToDate>
  <CharactersWithSpaces>2505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2026-01-09T10:33:00Z</dcterms:created>
  <dc:creator>DJ L</dc:creator>
  <cp:lastModifiedBy>输入失败</cp:lastModifiedBy>
  <dcterms:modified xsi:type="dcterms:W3CDTF">2026-01-13T01:43:25Z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eyJoZGlkIjoiODVmZDlhMmZkMDYyZTY3ZGVlNTljMDc0NTE3NDk0MTkiLCJ1c2VySWQiOiI0MjIwODEyOTgifQ==</vt:lpwstr>
  </property>
  <property fmtid="{D5CDD505-2E9C-101B-9397-08002B2CF9AE}" pid="3" name="KSOProductBuildVer">
    <vt:lpwstr>2052-12.1.0.20305</vt:lpwstr>
  </property>
  <property fmtid="{D5CDD505-2E9C-101B-9397-08002B2CF9AE}" pid="4" name="ICV">
    <vt:lpwstr>CCA3FA4B35F94D73811EF62DCAB60DAD_13</vt:lpwstr>
  </property>
</Properties>
</file>